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7B2" w:rsidRPr="00F847B2" w:rsidRDefault="00F847B2" w:rsidP="00F847B2">
      <w:pPr>
        <w:jc w:val="center"/>
        <w:rPr>
          <w:sz w:val="36"/>
          <w:szCs w:val="36"/>
        </w:rPr>
      </w:pPr>
      <w:r w:rsidRPr="00F847B2">
        <w:rPr>
          <w:sz w:val="36"/>
          <w:szCs w:val="36"/>
        </w:rPr>
        <w:t>DEMUSIS Meeting Minutes Report</w:t>
      </w:r>
    </w:p>
    <w:p w:rsidR="00F847B2" w:rsidRDefault="00F847B2" w:rsidP="00F847B2"/>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113" w:type="dxa"/>
          <w:bottom w:w="85" w:type="dxa"/>
          <w:right w:w="113" w:type="dxa"/>
        </w:tblCellMar>
        <w:tblLook w:val="04A0"/>
      </w:tblPr>
      <w:tblGrid>
        <w:gridCol w:w="2660"/>
        <w:gridCol w:w="6629"/>
      </w:tblGrid>
      <w:tr w:rsidR="00F847B2" w:rsidTr="00496367">
        <w:tc>
          <w:tcPr>
            <w:tcW w:w="2660" w:type="dxa"/>
            <w:tcBorders>
              <w:bottom w:val="single" w:sz="4" w:space="0" w:color="A6A6A6" w:themeColor="background1" w:themeShade="A6"/>
            </w:tcBorders>
            <w:shd w:val="clear" w:color="auto" w:fill="DBE5F1" w:themeFill="accent1" w:themeFillTint="33"/>
            <w:vAlign w:val="center"/>
          </w:tcPr>
          <w:p w:rsidR="00F847B2" w:rsidRPr="00F971BF" w:rsidRDefault="00F847B2" w:rsidP="00F847B2">
            <w:pPr>
              <w:jc w:val="right"/>
            </w:pPr>
            <w:r w:rsidRPr="00F971BF">
              <w:t>Subject of the Meeting:</w:t>
            </w:r>
          </w:p>
        </w:tc>
        <w:tc>
          <w:tcPr>
            <w:tcW w:w="6629" w:type="dxa"/>
            <w:vAlign w:val="center"/>
          </w:tcPr>
          <w:p w:rsidR="00F847B2" w:rsidRPr="00F971BF" w:rsidRDefault="004E6960" w:rsidP="004E6960">
            <w:pPr>
              <w:jc w:val="both"/>
              <w:rPr>
                <w:rFonts w:cstheme="minorHAnsi"/>
                <w:b/>
              </w:rPr>
            </w:pPr>
            <w:r>
              <w:rPr>
                <w:rFonts w:cstheme="minorHAnsi"/>
              </w:rPr>
              <w:t>Quality assurance g</w:t>
            </w:r>
            <w:r w:rsidR="00F971BF" w:rsidRPr="00F971BF">
              <w:rPr>
                <w:rFonts w:cstheme="minorHAnsi"/>
              </w:rPr>
              <w:t xml:space="preserve">roup and </w:t>
            </w:r>
            <w:r>
              <w:rPr>
                <w:rFonts w:cstheme="minorHAnsi"/>
              </w:rPr>
              <w:t>p</w:t>
            </w:r>
            <w:r w:rsidR="00F971BF" w:rsidRPr="00F971BF">
              <w:rPr>
                <w:rFonts w:cstheme="minorHAnsi"/>
              </w:rPr>
              <w:t>roject external evaluator meeting</w:t>
            </w:r>
          </w:p>
        </w:tc>
      </w:tr>
      <w:tr w:rsidR="00F847B2" w:rsidTr="00496367">
        <w:tc>
          <w:tcPr>
            <w:tcW w:w="2660" w:type="dxa"/>
            <w:shd w:val="clear" w:color="auto" w:fill="DBE5F1" w:themeFill="accent1" w:themeFillTint="33"/>
            <w:vAlign w:val="center"/>
          </w:tcPr>
          <w:p w:rsidR="00F847B2" w:rsidRPr="00B927FF" w:rsidRDefault="00F847B2" w:rsidP="00F847B2">
            <w:pPr>
              <w:jc w:val="right"/>
            </w:pPr>
            <w:r w:rsidRPr="00B927FF">
              <w:t>Date:</w:t>
            </w:r>
          </w:p>
        </w:tc>
        <w:tc>
          <w:tcPr>
            <w:tcW w:w="6629" w:type="dxa"/>
            <w:vAlign w:val="center"/>
          </w:tcPr>
          <w:p w:rsidR="00F847B2" w:rsidRPr="006E425F" w:rsidRDefault="00F971BF" w:rsidP="00F847B2">
            <w:pPr>
              <w:rPr>
                <w:sz w:val="20"/>
                <w:szCs w:val="20"/>
              </w:rPr>
            </w:pPr>
            <w:r>
              <w:rPr>
                <w:sz w:val="20"/>
                <w:szCs w:val="20"/>
              </w:rPr>
              <w:t>December 2, 2019.</w:t>
            </w:r>
          </w:p>
        </w:tc>
      </w:tr>
      <w:tr w:rsidR="00F847B2" w:rsidTr="00496367">
        <w:tc>
          <w:tcPr>
            <w:tcW w:w="2660" w:type="dxa"/>
            <w:shd w:val="clear" w:color="auto" w:fill="DBE5F1" w:themeFill="accent1" w:themeFillTint="33"/>
            <w:vAlign w:val="center"/>
          </w:tcPr>
          <w:p w:rsidR="00F847B2" w:rsidRPr="00B927FF" w:rsidRDefault="00F847B2" w:rsidP="00F847B2">
            <w:pPr>
              <w:jc w:val="right"/>
            </w:pPr>
            <w:r w:rsidRPr="00B927FF">
              <w:t>Minutes Prepared by:</w:t>
            </w:r>
          </w:p>
        </w:tc>
        <w:tc>
          <w:tcPr>
            <w:tcW w:w="6629" w:type="dxa"/>
            <w:vAlign w:val="center"/>
          </w:tcPr>
          <w:p w:rsidR="00F847B2" w:rsidRPr="006E425F" w:rsidRDefault="00F971BF" w:rsidP="00F847B2">
            <w:pPr>
              <w:rPr>
                <w:sz w:val="20"/>
                <w:szCs w:val="20"/>
              </w:rPr>
            </w:pPr>
            <w:r>
              <w:rPr>
                <w:sz w:val="20"/>
                <w:szCs w:val="20"/>
              </w:rPr>
              <w:t xml:space="preserve">Sanela </w:t>
            </w:r>
            <w:proofErr w:type="spellStart"/>
            <w:r>
              <w:rPr>
                <w:sz w:val="20"/>
                <w:szCs w:val="20"/>
              </w:rPr>
              <w:t>Nikolić</w:t>
            </w:r>
            <w:proofErr w:type="spellEnd"/>
            <w:r w:rsidR="0099709A">
              <w:rPr>
                <w:sz w:val="20"/>
                <w:szCs w:val="20"/>
              </w:rPr>
              <w:t>, P1</w:t>
            </w:r>
          </w:p>
        </w:tc>
      </w:tr>
      <w:tr w:rsidR="00F847B2" w:rsidTr="00496367">
        <w:tc>
          <w:tcPr>
            <w:tcW w:w="2660" w:type="dxa"/>
            <w:shd w:val="clear" w:color="auto" w:fill="DBE5F1" w:themeFill="accent1" w:themeFillTint="33"/>
            <w:vAlign w:val="center"/>
          </w:tcPr>
          <w:p w:rsidR="00F847B2" w:rsidRPr="00B927FF" w:rsidRDefault="00F847B2" w:rsidP="00F847B2">
            <w:pPr>
              <w:jc w:val="right"/>
            </w:pPr>
            <w:r w:rsidRPr="00B927FF">
              <w:t>Time and Location:</w:t>
            </w:r>
          </w:p>
        </w:tc>
        <w:tc>
          <w:tcPr>
            <w:tcW w:w="6629" w:type="dxa"/>
            <w:vAlign w:val="center"/>
          </w:tcPr>
          <w:p w:rsidR="00F847B2" w:rsidRPr="006E425F" w:rsidRDefault="00F971BF" w:rsidP="00F847B2">
            <w:pPr>
              <w:rPr>
                <w:sz w:val="20"/>
                <w:szCs w:val="20"/>
              </w:rPr>
            </w:pPr>
            <w:r>
              <w:rPr>
                <w:sz w:val="20"/>
                <w:szCs w:val="20"/>
              </w:rPr>
              <w:t xml:space="preserve">9:30-11:30, </w:t>
            </w:r>
            <w:r w:rsidRPr="00F971BF">
              <w:rPr>
                <w:sz w:val="20"/>
                <w:szCs w:val="20"/>
              </w:rPr>
              <w:t>University of Novi Sad</w:t>
            </w:r>
          </w:p>
        </w:tc>
      </w:tr>
    </w:tbl>
    <w:p w:rsidR="00B23FF9" w:rsidRDefault="00B23FF9"/>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113" w:type="dxa"/>
          <w:bottom w:w="85" w:type="dxa"/>
          <w:right w:w="113" w:type="dxa"/>
        </w:tblCellMar>
        <w:tblLook w:val="04A0"/>
      </w:tblPr>
      <w:tblGrid>
        <w:gridCol w:w="2932"/>
        <w:gridCol w:w="3916"/>
        <w:gridCol w:w="2451"/>
      </w:tblGrid>
      <w:tr w:rsidR="00AB407F" w:rsidTr="00496367">
        <w:trPr>
          <w:trHeight w:val="611"/>
        </w:trPr>
        <w:tc>
          <w:tcPr>
            <w:tcW w:w="9289" w:type="dxa"/>
            <w:gridSpan w:val="3"/>
            <w:tcBorders>
              <w:bottom w:val="single" w:sz="4" w:space="0" w:color="A6A6A6" w:themeColor="background1" w:themeShade="A6"/>
            </w:tcBorders>
            <w:vAlign w:val="center"/>
          </w:tcPr>
          <w:p w:rsidR="00AB407F" w:rsidRPr="00292F62" w:rsidRDefault="00AB407F" w:rsidP="00F847B2">
            <w:pPr>
              <w:rPr>
                <w:color w:val="984806" w:themeColor="accent6" w:themeShade="80"/>
                <w:sz w:val="28"/>
                <w:szCs w:val="28"/>
              </w:rPr>
            </w:pPr>
            <w:r w:rsidRPr="00DF6179">
              <w:rPr>
                <w:color w:val="365F91" w:themeColor="accent1" w:themeShade="BF"/>
                <w:sz w:val="28"/>
                <w:szCs w:val="28"/>
              </w:rPr>
              <w:t>1. Attendance at Meeting</w:t>
            </w:r>
            <w:bookmarkStart w:id="0" w:name="_GoBack"/>
            <w:bookmarkEnd w:id="0"/>
          </w:p>
        </w:tc>
      </w:tr>
      <w:tr w:rsidR="00A71C2C" w:rsidTr="00496367">
        <w:tc>
          <w:tcPr>
            <w:tcW w:w="3096" w:type="dxa"/>
            <w:shd w:val="clear" w:color="auto" w:fill="DBE5F1" w:themeFill="accent1" w:themeFillTint="33"/>
            <w:vAlign w:val="center"/>
          </w:tcPr>
          <w:p w:rsidR="00AB407F" w:rsidRDefault="00496367" w:rsidP="00F847B2">
            <w:r>
              <w:t>Name</w:t>
            </w:r>
          </w:p>
        </w:tc>
        <w:tc>
          <w:tcPr>
            <w:tcW w:w="4100" w:type="dxa"/>
            <w:shd w:val="clear" w:color="auto" w:fill="DBE5F1" w:themeFill="accent1" w:themeFillTint="33"/>
            <w:vAlign w:val="center"/>
          </w:tcPr>
          <w:p w:rsidR="00AB407F" w:rsidRDefault="00496367" w:rsidP="00F847B2">
            <w:r>
              <w:t>Institution</w:t>
            </w:r>
          </w:p>
        </w:tc>
        <w:tc>
          <w:tcPr>
            <w:tcW w:w="2093" w:type="dxa"/>
            <w:shd w:val="clear" w:color="auto" w:fill="DBE5F1" w:themeFill="accent1" w:themeFillTint="33"/>
            <w:vAlign w:val="center"/>
          </w:tcPr>
          <w:p w:rsidR="00AB407F" w:rsidRDefault="00496367" w:rsidP="00F847B2">
            <w:r>
              <w:t>Signature</w:t>
            </w:r>
          </w:p>
        </w:tc>
      </w:tr>
      <w:tr w:rsidR="00A71C2C" w:rsidTr="00496367">
        <w:tc>
          <w:tcPr>
            <w:tcW w:w="3096" w:type="dxa"/>
            <w:vAlign w:val="center"/>
          </w:tcPr>
          <w:p w:rsidR="00AB407F" w:rsidRPr="006E425F" w:rsidRDefault="00F971BF" w:rsidP="00F847B2">
            <w:pPr>
              <w:rPr>
                <w:sz w:val="20"/>
                <w:szCs w:val="20"/>
              </w:rPr>
            </w:pPr>
            <w:r w:rsidRPr="00F971BF">
              <w:rPr>
                <w:sz w:val="20"/>
                <w:szCs w:val="20"/>
              </w:rPr>
              <w:t>Georg Schulz</w:t>
            </w:r>
          </w:p>
        </w:tc>
        <w:tc>
          <w:tcPr>
            <w:tcW w:w="4100" w:type="dxa"/>
            <w:vAlign w:val="center"/>
          </w:tcPr>
          <w:p w:rsidR="00AB407F" w:rsidRPr="004E6960" w:rsidRDefault="00A71C2C" w:rsidP="00F847B2">
            <w:pPr>
              <w:rPr>
                <w:rFonts w:cstheme="minorHAnsi"/>
              </w:rPr>
            </w:pPr>
            <w:proofErr w:type="spellStart"/>
            <w:r>
              <w:rPr>
                <w:rFonts w:cstheme="minorHAnsi"/>
              </w:rPr>
              <w:t>Kunstuniversitat</w:t>
            </w:r>
            <w:proofErr w:type="spellEnd"/>
            <w:r>
              <w:rPr>
                <w:rFonts w:cstheme="minorHAnsi"/>
              </w:rPr>
              <w:t>, Graz</w:t>
            </w:r>
          </w:p>
        </w:tc>
        <w:tc>
          <w:tcPr>
            <w:tcW w:w="2093" w:type="dxa"/>
            <w:vAlign w:val="center"/>
          </w:tcPr>
          <w:p w:rsidR="00AB407F" w:rsidRPr="006E425F" w:rsidRDefault="00A71C2C" w:rsidP="00F847B2">
            <w:pPr>
              <w:rPr>
                <w:sz w:val="20"/>
                <w:szCs w:val="20"/>
              </w:rPr>
            </w:pPr>
            <w:r>
              <w:object w:dxaOrig="2508" w:dyaOrig="1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36.6pt" o:ole="">
                  <v:imagedata r:id="rId7" o:title=""/>
                </v:shape>
                <o:OLEObject Type="Embed" ProgID="PBrush" ShapeID="_x0000_i1025" DrawAspect="Content" ObjectID="_1638030805" r:id="rId8"/>
              </w:object>
            </w:r>
          </w:p>
        </w:tc>
      </w:tr>
      <w:tr w:rsidR="00A71C2C" w:rsidTr="00496367">
        <w:tc>
          <w:tcPr>
            <w:tcW w:w="3096" w:type="dxa"/>
            <w:vAlign w:val="center"/>
          </w:tcPr>
          <w:p w:rsidR="00AB407F" w:rsidRPr="006E425F" w:rsidRDefault="00F971BF" w:rsidP="00F847B2">
            <w:pPr>
              <w:rPr>
                <w:sz w:val="20"/>
                <w:szCs w:val="20"/>
              </w:rPr>
            </w:pPr>
            <w:r w:rsidRPr="00F971BF">
              <w:rPr>
                <w:sz w:val="20"/>
                <w:szCs w:val="20"/>
              </w:rPr>
              <w:t xml:space="preserve">Vladimir </w:t>
            </w:r>
            <w:proofErr w:type="spellStart"/>
            <w:r w:rsidRPr="00F971BF">
              <w:rPr>
                <w:sz w:val="20"/>
                <w:szCs w:val="20"/>
              </w:rPr>
              <w:t>Blagojević</w:t>
            </w:r>
            <w:proofErr w:type="spellEnd"/>
          </w:p>
        </w:tc>
        <w:tc>
          <w:tcPr>
            <w:tcW w:w="4100" w:type="dxa"/>
            <w:vAlign w:val="center"/>
          </w:tcPr>
          <w:p w:rsidR="00AB407F" w:rsidRPr="004E6960" w:rsidRDefault="00F971BF" w:rsidP="00F971BF">
            <w:pPr>
              <w:pStyle w:val="Default"/>
              <w:rPr>
                <w:rFonts w:asciiTheme="minorHAnsi" w:hAnsiTheme="minorHAnsi" w:cstheme="minorHAnsi"/>
                <w:sz w:val="22"/>
                <w:szCs w:val="22"/>
              </w:rPr>
            </w:pPr>
            <w:r w:rsidRPr="004E6960">
              <w:rPr>
                <w:rFonts w:asciiTheme="minorHAnsi" w:hAnsiTheme="minorHAnsi" w:cstheme="minorHAnsi"/>
                <w:sz w:val="22"/>
                <w:szCs w:val="22"/>
              </w:rPr>
              <w:t xml:space="preserve">University of </w:t>
            </w:r>
            <w:proofErr w:type="spellStart"/>
            <w:r w:rsidRPr="004E6960">
              <w:rPr>
                <w:rFonts w:asciiTheme="minorHAnsi" w:hAnsiTheme="minorHAnsi" w:cstheme="minorHAnsi"/>
                <w:sz w:val="22"/>
                <w:szCs w:val="22"/>
              </w:rPr>
              <w:t>Kragujevac</w:t>
            </w:r>
            <w:proofErr w:type="spellEnd"/>
            <w:r w:rsidRPr="004E6960">
              <w:rPr>
                <w:rFonts w:asciiTheme="minorHAnsi" w:hAnsiTheme="minorHAnsi" w:cstheme="minorHAnsi"/>
                <w:sz w:val="22"/>
                <w:szCs w:val="22"/>
              </w:rPr>
              <w:t>, Faculty of Philology and Arts</w:t>
            </w:r>
          </w:p>
        </w:tc>
        <w:tc>
          <w:tcPr>
            <w:tcW w:w="2093" w:type="dxa"/>
            <w:vAlign w:val="center"/>
          </w:tcPr>
          <w:p w:rsidR="00AB407F" w:rsidRPr="006E425F" w:rsidRDefault="00A71C2C" w:rsidP="00F847B2">
            <w:pPr>
              <w:rPr>
                <w:sz w:val="20"/>
                <w:szCs w:val="20"/>
              </w:rPr>
            </w:pPr>
            <w:r>
              <w:object w:dxaOrig="3060" w:dyaOrig="816">
                <v:shape id="_x0000_i1030" type="#_x0000_t75" style="width:96pt;height:25.8pt" o:ole="">
                  <v:imagedata r:id="rId9" o:title=""/>
                </v:shape>
                <o:OLEObject Type="Embed" ProgID="PBrush" ShapeID="_x0000_i1030" DrawAspect="Content" ObjectID="_1638030806" r:id="rId10"/>
              </w:object>
            </w:r>
          </w:p>
        </w:tc>
      </w:tr>
      <w:tr w:rsidR="00A71C2C" w:rsidTr="00496367">
        <w:tc>
          <w:tcPr>
            <w:tcW w:w="3096" w:type="dxa"/>
            <w:vAlign w:val="center"/>
          </w:tcPr>
          <w:p w:rsidR="00496367" w:rsidRPr="006E425F" w:rsidRDefault="00F971BF" w:rsidP="00F847B2">
            <w:pPr>
              <w:rPr>
                <w:sz w:val="20"/>
                <w:szCs w:val="20"/>
              </w:rPr>
            </w:pPr>
            <w:r w:rsidRPr="00F971BF">
              <w:rPr>
                <w:sz w:val="20"/>
                <w:szCs w:val="20"/>
              </w:rPr>
              <w:t xml:space="preserve">Sanela </w:t>
            </w:r>
            <w:proofErr w:type="spellStart"/>
            <w:r w:rsidRPr="00F971BF">
              <w:rPr>
                <w:sz w:val="20"/>
                <w:szCs w:val="20"/>
              </w:rPr>
              <w:t>Nikolić</w:t>
            </w:r>
            <w:proofErr w:type="spellEnd"/>
          </w:p>
        </w:tc>
        <w:tc>
          <w:tcPr>
            <w:tcW w:w="4100" w:type="dxa"/>
            <w:vAlign w:val="center"/>
          </w:tcPr>
          <w:p w:rsidR="00496367" w:rsidRPr="004E6960" w:rsidRDefault="00F971BF" w:rsidP="00F971BF">
            <w:pPr>
              <w:pStyle w:val="Default"/>
              <w:rPr>
                <w:rFonts w:asciiTheme="minorHAnsi" w:hAnsiTheme="minorHAnsi" w:cstheme="minorHAnsi"/>
                <w:sz w:val="22"/>
                <w:szCs w:val="22"/>
              </w:rPr>
            </w:pPr>
            <w:r w:rsidRPr="004E6960">
              <w:rPr>
                <w:rFonts w:asciiTheme="minorHAnsi" w:hAnsiTheme="minorHAnsi" w:cstheme="minorHAnsi"/>
                <w:sz w:val="22"/>
                <w:szCs w:val="22"/>
              </w:rPr>
              <w:t>University of Arts, Faculty of Music, Belgrade</w:t>
            </w:r>
          </w:p>
        </w:tc>
        <w:tc>
          <w:tcPr>
            <w:tcW w:w="2093" w:type="dxa"/>
            <w:vAlign w:val="center"/>
          </w:tcPr>
          <w:p w:rsidR="00496367" w:rsidRPr="006E425F" w:rsidRDefault="00A71C2C" w:rsidP="00F847B2">
            <w:pPr>
              <w:rPr>
                <w:sz w:val="20"/>
                <w:szCs w:val="20"/>
              </w:rPr>
            </w:pPr>
            <w:r>
              <w:object w:dxaOrig="2928" w:dyaOrig="672">
                <v:shape id="_x0000_i1029" type="#_x0000_t75" style="width:85.8pt;height:19.8pt" o:ole="">
                  <v:imagedata r:id="rId11" o:title=""/>
                </v:shape>
                <o:OLEObject Type="Embed" ProgID="PBrush" ShapeID="_x0000_i1029" DrawAspect="Content" ObjectID="_1638030807" r:id="rId12"/>
              </w:object>
            </w:r>
          </w:p>
        </w:tc>
      </w:tr>
      <w:tr w:rsidR="00A71C2C" w:rsidTr="00496367">
        <w:tc>
          <w:tcPr>
            <w:tcW w:w="3096" w:type="dxa"/>
            <w:vAlign w:val="center"/>
          </w:tcPr>
          <w:p w:rsidR="00496367" w:rsidRPr="006E425F" w:rsidRDefault="00F971BF" w:rsidP="00F847B2">
            <w:pPr>
              <w:rPr>
                <w:sz w:val="20"/>
                <w:szCs w:val="20"/>
              </w:rPr>
            </w:pPr>
            <w:proofErr w:type="spellStart"/>
            <w:r w:rsidRPr="00F971BF">
              <w:rPr>
                <w:sz w:val="20"/>
                <w:szCs w:val="20"/>
              </w:rPr>
              <w:t>Nynke</w:t>
            </w:r>
            <w:proofErr w:type="spellEnd"/>
            <w:r w:rsidRPr="00F971BF">
              <w:rPr>
                <w:sz w:val="20"/>
                <w:szCs w:val="20"/>
              </w:rPr>
              <w:t xml:space="preserve"> van </w:t>
            </w:r>
            <w:proofErr w:type="spellStart"/>
            <w:r w:rsidRPr="00F971BF">
              <w:rPr>
                <w:sz w:val="20"/>
                <w:szCs w:val="20"/>
              </w:rPr>
              <w:t>Ketel</w:t>
            </w:r>
            <w:proofErr w:type="spellEnd"/>
          </w:p>
        </w:tc>
        <w:tc>
          <w:tcPr>
            <w:tcW w:w="4100" w:type="dxa"/>
            <w:vAlign w:val="center"/>
          </w:tcPr>
          <w:p w:rsidR="00496367" w:rsidRPr="004E6960" w:rsidRDefault="00F971BF" w:rsidP="00F971BF">
            <w:pPr>
              <w:pStyle w:val="Default"/>
              <w:rPr>
                <w:rFonts w:asciiTheme="minorHAnsi" w:hAnsiTheme="minorHAnsi" w:cstheme="minorHAnsi"/>
                <w:sz w:val="22"/>
                <w:szCs w:val="22"/>
              </w:rPr>
            </w:pPr>
            <w:r w:rsidRPr="004E6960">
              <w:rPr>
                <w:rFonts w:asciiTheme="minorHAnsi" w:hAnsiTheme="minorHAnsi" w:cstheme="minorHAnsi"/>
                <w:sz w:val="22"/>
                <w:szCs w:val="22"/>
              </w:rPr>
              <w:t xml:space="preserve">University of Arts The Hague – Royal Conservatoire </w:t>
            </w:r>
          </w:p>
        </w:tc>
        <w:tc>
          <w:tcPr>
            <w:tcW w:w="2093" w:type="dxa"/>
            <w:vAlign w:val="center"/>
          </w:tcPr>
          <w:p w:rsidR="00496367" w:rsidRPr="006E425F" w:rsidRDefault="00A71C2C" w:rsidP="00F847B2">
            <w:pPr>
              <w:rPr>
                <w:sz w:val="20"/>
                <w:szCs w:val="20"/>
              </w:rPr>
            </w:pPr>
            <w:r>
              <w:object w:dxaOrig="2304" w:dyaOrig="708">
                <v:shape id="_x0000_i1028" type="#_x0000_t75" style="width:91.8pt;height:28.2pt" o:ole="">
                  <v:imagedata r:id="rId13" o:title=""/>
                </v:shape>
                <o:OLEObject Type="Embed" ProgID="PBrush" ShapeID="_x0000_i1028" DrawAspect="Content" ObjectID="_1638030808" r:id="rId14"/>
              </w:object>
            </w:r>
          </w:p>
        </w:tc>
      </w:tr>
      <w:tr w:rsidR="00A71C2C" w:rsidTr="00496367">
        <w:tc>
          <w:tcPr>
            <w:tcW w:w="3096" w:type="dxa"/>
            <w:vAlign w:val="center"/>
          </w:tcPr>
          <w:p w:rsidR="00496367" w:rsidRPr="006E425F" w:rsidRDefault="00F971BF" w:rsidP="00F847B2">
            <w:pPr>
              <w:rPr>
                <w:sz w:val="20"/>
                <w:szCs w:val="20"/>
              </w:rPr>
            </w:pPr>
            <w:r w:rsidRPr="00F971BF">
              <w:rPr>
                <w:sz w:val="20"/>
                <w:szCs w:val="20"/>
              </w:rPr>
              <w:t>Paulina Gut</w:t>
            </w:r>
          </w:p>
        </w:tc>
        <w:tc>
          <w:tcPr>
            <w:tcW w:w="4100" w:type="dxa"/>
            <w:vAlign w:val="center"/>
          </w:tcPr>
          <w:p w:rsidR="00496367" w:rsidRPr="004E6960" w:rsidRDefault="00F971BF" w:rsidP="00F971BF">
            <w:pPr>
              <w:pStyle w:val="Default"/>
              <w:rPr>
                <w:rFonts w:asciiTheme="minorHAnsi" w:hAnsiTheme="minorHAnsi" w:cstheme="minorHAnsi"/>
                <w:sz w:val="22"/>
                <w:szCs w:val="22"/>
              </w:rPr>
            </w:pPr>
            <w:r w:rsidRPr="004E6960">
              <w:rPr>
                <w:rFonts w:asciiTheme="minorHAnsi" w:hAnsiTheme="minorHAnsi" w:cstheme="minorHAnsi"/>
                <w:sz w:val="22"/>
                <w:szCs w:val="22"/>
              </w:rPr>
              <w:t xml:space="preserve">The Association </w:t>
            </w:r>
            <w:proofErr w:type="spellStart"/>
            <w:r w:rsidRPr="004E6960">
              <w:rPr>
                <w:rFonts w:asciiTheme="minorHAnsi" w:hAnsiTheme="minorHAnsi" w:cstheme="minorHAnsi"/>
                <w:sz w:val="22"/>
                <w:szCs w:val="22"/>
              </w:rPr>
              <w:t>Européenne</w:t>
            </w:r>
            <w:proofErr w:type="spellEnd"/>
            <w:r w:rsidRPr="004E6960">
              <w:rPr>
                <w:rFonts w:asciiTheme="minorHAnsi" w:hAnsiTheme="minorHAnsi" w:cstheme="minorHAnsi"/>
                <w:sz w:val="22"/>
                <w:szCs w:val="22"/>
              </w:rPr>
              <w:t xml:space="preserve"> des Conservatoires, </w:t>
            </w:r>
            <w:proofErr w:type="spellStart"/>
            <w:r w:rsidRPr="004E6960">
              <w:rPr>
                <w:rFonts w:asciiTheme="minorHAnsi" w:hAnsiTheme="minorHAnsi" w:cstheme="minorHAnsi"/>
                <w:sz w:val="22"/>
                <w:szCs w:val="22"/>
              </w:rPr>
              <w:t>Académies</w:t>
            </w:r>
            <w:proofErr w:type="spellEnd"/>
            <w:r w:rsidRPr="004E6960">
              <w:rPr>
                <w:rFonts w:asciiTheme="minorHAnsi" w:hAnsiTheme="minorHAnsi" w:cstheme="minorHAnsi"/>
                <w:sz w:val="22"/>
                <w:szCs w:val="22"/>
              </w:rPr>
              <w:t xml:space="preserve"> de </w:t>
            </w:r>
            <w:proofErr w:type="spellStart"/>
            <w:r w:rsidRPr="004E6960">
              <w:rPr>
                <w:rFonts w:asciiTheme="minorHAnsi" w:hAnsiTheme="minorHAnsi" w:cstheme="minorHAnsi"/>
                <w:sz w:val="22"/>
                <w:szCs w:val="22"/>
              </w:rPr>
              <w:t>Musique</w:t>
            </w:r>
            <w:proofErr w:type="spellEnd"/>
            <w:r w:rsidRPr="004E6960">
              <w:rPr>
                <w:rFonts w:asciiTheme="minorHAnsi" w:hAnsiTheme="minorHAnsi" w:cstheme="minorHAnsi"/>
                <w:sz w:val="22"/>
                <w:szCs w:val="22"/>
              </w:rPr>
              <w:t xml:space="preserve"> et </w:t>
            </w:r>
            <w:proofErr w:type="spellStart"/>
            <w:r w:rsidRPr="004E6960">
              <w:rPr>
                <w:rFonts w:asciiTheme="minorHAnsi" w:hAnsiTheme="minorHAnsi" w:cstheme="minorHAnsi"/>
                <w:sz w:val="22"/>
                <w:szCs w:val="22"/>
              </w:rPr>
              <w:t>Musikhochschulen</w:t>
            </w:r>
            <w:proofErr w:type="spellEnd"/>
            <w:r w:rsidRPr="004E6960">
              <w:rPr>
                <w:rFonts w:asciiTheme="minorHAnsi" w:hAnsiTheme="minorHAnsi" w:cstheme="minorHAnsi"/>
                <w:sz w:val="22"/>
                <w:szCs w:val="22"/>
              </w:rPr>
              <w:t xml:space="preserve"> </w:t>
            </w:r>
          </w:p>
        </w:tc>
        <w:tc>
          <w:tcPr>
            <w:tcW w:w="2093" w:type="dxa"/>
            <w:vAlign w:val="center"/>
          </w:tcPr>
          <w:p w:rsidR="00496367" w:rsidRPr="006E425F" w:rsidRDefault="00A71C2C" w:rsidP="00F847B2">
            <w:pPr>
              <w:rPr>
                <w:sz w:val="20"/>
                <w:szCs w:val="20"/>
              </w:rPr>
            </w:pPr>
            <w:r>
              <w:object w:dxaOrig="3972" w:dyaOrig="1452">
                <v:shape id="_x0000_i1027" type="#_x0000_t75" style="width:92.4pt;height:34.2pt" o:ole="">
                  <v:imagedata r:id="rId15" o:title=""/>
                </v:shape>
                <o:OLEObject Type="Embed" ProgID="PBrush" ShapeID="_x0000_i1027" DrawAspect="Content" ObjectID="_1638030809" r:id="rId16"/>
              </w:object>
            </w:r>
          </w:p>
        </w:tc>
      </w:tr>
      <w:tr w:rsidR="00A71C2C" w:rsidTr="00496367">
        <w:tc>
          <w:tcPr>
            <w:tcW w:w="3096" w:type="dxa"/>
            <w:vAlign w:val="center"/>
          </w:tcPr>
          <w:p w:rsidR="00496367" w:rsidRPr="006E425F" w:rsidRDefault="00F971BF" w:rsidP="00F847B2">
            <w:pPr>
              <w:rPr>
                <w:sz w:val="20"/>
                <w:szCs w:val="20"/>
              </w:rPr>
            </w:pPr>
            <w:proofErr w:type="spellStart"/>
            <w:r w:rsidRPr="00F971BF">
              <w:rPr>
                <w:sz w:val="20"/>
                <w:szCs w:val="20"/>
              </w:rPr>
              <w:t>Aleksandar</w:t>
            </w:r>
            <w:proofErr w:type="spellEnd"/>
            <w:r w:rsidRPr="00F971BF">
              <w:rPr>
                <w:sz w:val="20"/>
                <w:szCs w:val="20"/>
              </w:rPr>
              <w:t xml:space="preserve"> </w:t>
            </w:r>
            <w:proofErr w:type="spellStart"/>
            <w:r w:rsidRPr="00F971BF">
              <w:rPr>
                <w:sz w:val="20"/>
                <w:szCs w:val="20"/>
              </w:rPr>
              <w:t>Mrdjan</w:t>
            </w:r>
            <w:proofErr w:type="spellEnd"/>
          </w:p>
        </w:tc>
        <w:tc>
          <w:tcPr>
            <w:tcW w:w="4100" w:type="dxa"/>
            <w:vAlign w:val="center"/>
          </w:tcPr>
          <w:p w:rsidR="00496367" w:rsidRPr="004E6960" w:rsidRDefault="00F971BF" w:rsidP="00F971BF">
            <w:pPr>
              <w:pStyle w:val="Default"/>
              <w:rPr>
                <w:rFonts w:asciiTheme="minorHAnsi" w:hAnsiTheme="minorHAnsi" w:cstheme="minorHAnsi"/>
                <w:sz w:val="22"/>
                <w:szCs w:val="22"/>
              </w:rPr>
            </w:pPr>
            <w:r w:rsidRPr="004E6960">
              <w:rPr>
                <w:rFonts w:asciiTheme="minorHAnsi" w:hAnsiTheme="minorHAnsi" w:cstheme="minorHAnsi"/>
                <w:sz w:val="22"/>
                <w:szCs w:val="22"/>
              </w:rPr>
              <w:t xml:space="preserve">University of Novi Sad, Academy of Arts </w:t>
            </w:r>
          </w:p>
        </w:tc>
        <w:tc>
          <w:tcPr>
            <w:tcW w:w="2093" w:type="dxa"/>
            <w:vAlign w:val="center"/>
          </w:tcPr>
          <w:p w:rsidR="00496367" w:rsidRPr="006E425F" w:rsidRDefault="00A71C2C" w:rsidP="00F847B2">
            <w:pPr>
              <w:rPr>
                <w:sz w:val="20"/>
                <w:szCs w:val="20"/>
              </w:rPr>
            </w:pPr>
            <w:r>
              <w:object w:dxaOrig="3720" w:dyaOrig="1044">
                <v:shape id="_x0000_i1026" type="#_x0000_t75" style="width:111pt;height:31.2pt" o:ole="">
                  <v:imagedata r:id="rId17" o:title=""/>
                </v:shape>
                <o:OLEObject Type="Embed" ProgID="PBrush" ShapeID="_x0000_i1026" DrawAspect="Content" ObjectID="_1638030810" r:id="rId18"/>
              </w:object>
            </w:r>
          </w:p>
        </w:tc>
      </w:tr>
    </w:tbl>
    <w:p w:rsidR="003C023B" w:rsidRDefault="003C023B"/>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113" w:type="dxa"/>
          <w:bottom w:w="85" w:type="dxa"/>
          <w:right w:w="113" w:type="dxa"/>
        </w:tblCellMar>
        <w:tblLook w:val="04A0"/>
      </w:tblPr>
      <w:tblGrid>
        <w:gridCol w:w="9289"/>
      </w:tblGrid>
      <w:tr w:rsidR="00496367" w:rsidTr="00F419B5">
        <w:trPr>
          <w:trHeight w:val="611"/>
        </w:trPr>
        <w:tc>
          <w:tcPr>
            <w:tcW w:w="9289" w:type="dxa"/>
            <w:vAlign w:val="center"/>
          </w:tcPr>
          <w:p w:rsidR="00496367" w:rsidRPr="00496367" w:rsidRDefault="00496367" w:rsidP="00F419B5">
            <w:pPr>
              <w:rPr>
                <w:color w:val="984806" w:themeColor="accent6" w:themeShade="80"/>
                <w:sz w:val="28"/>
                <w:szCs w:val="28"/>
              </w:rPr>
            </w:pPr>
            <w:r w:rsidRPr="00DF6179">
              <w:rPr>
                <w:color w:val="365F91" w:themeColor="accent1" w:themeShade="BF"/>
                <w:sz w:val="28"/>
                <w:szCs w:val="28"/>
              </w:rPr>
              <w:t>2. Meeting Purpose</w:t>
            </w:r>
          </w:p>
        </w:tc>
      </w:tr>
      <w:tr w:rsidR="00496367" w:rsidTr="00F419B5">
        <w:trPr>
          <w:trHeight w:val="611"/>
        </w:trPr>
        <w:tc>
          <w:tcPr>
            <w:tcW w:w="9289" w:type="dxa"/>
            <w:vAlign w:val="center"/>
          </w:tcPr>
          <w:p w:rsidR="00933540" w:rsidRPr="00933540" w:rsidRDefault="004E6960" w:rsidP="004E6960">
            <w:pPr>
              <w:rPr>
                <w:bCs/>
                <w:sz w:val="20"/>
                <w:szCs w:val="20"/>
              </w:rPr>
            </w:pPr>
            <w:r>
              <w:rPr>
                <w:bCs/>
                <w:sz w:val="20"/>
                <w:szCs w:val="20"/>
              </w:rPr>
              <w:t>I</w:t>
            </w:r>
            <w:r w:rsidR="00933540">
              <w:rPr>
                <w:bCs/>
                <w:sz w:val="20"/>
                <w:szCs w:val="20"/>
              </w:rPr>
              <w:t xml:space="preserve">dentification of the strengths and weaknesses of the </w:t>
            </w:r>
            <w:r w:rsidR="00152803">
              <w:rPr>
                <w:bCs/>
                <w:sz w:val="20"/>
                <w:szCs w:val="20"/>
              </w:rPr>
              <w:t>p</w:t>
            </w:r>
            <w:r w:rsidR="00933540">
              <w:rPr>
                <w:bCs/>
                <w:sz w:val="20"/>
                <w:szCs w:val="20"/>
              </w:rPr>
              <w:t>roject quality control and monitoring.</w:t>
            </w:r>
          </w:p>
        </w:tc>
      </w:tr>
    </w:tbl>
    <w:p w:rsidR="00B23FF9" w:rsidRDefault="00B23FF9"/>
    <w:p w:rsidR="00A71C2C" w:rsidRDefault="00A71C2C"/>
    <w:p w:rsidR="00A71C2C" w:rsidRDefault="00A71C2C"/>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113" w:type="dxa"/>
          <w:bottom w:w="85" w:type="dxa"/>
          <w:right w:w="113" w:type="dxa"/>
        </w:tblCellMar>
        <w:tblLook w:val="04A0"/>
      </w:tblPr>
      <w:tblGrid>
        <w:gridCol w:w="9289"/>
      </w:tblGrid>
      <w:tr w:rsidR="006E425F" w:rsidTr="00F419B5">
        <w:trPr>
          <w:trHeight w:val="611"/>
        </w:trPr>
        <w:tc>
          <w:tcPr>
            <w:tcW w:w="9289" w:type="dxa"/>
            <w:vAlign w:val="center"/>
          </w:tcPr>
          <w:p w:rsidR="006E425F" w:rsidRPr="00496367" w:rsidRDefault="006E425F" w:rsidP="00F419B5">
            <w:pPr>
              <w:rPr>
                <w:color w:val="984806" w:themeColor="accent6" w:themeShade="80"/>
                <w:sz w:val="28"/>
                <w:szCs w:val="28"/>
              </w:rPr>
            </w:pPr>
            <w:r w:rsidRPr="00DF6179">
              <w:rPr>
                <w:color w:val="365F91" w:themeColor="accent1" w:themeShade="BF"/>
                <w:sz w:val="28"/>
                <w:szCs w:val="28"/>
              </w:rPr>
              <w:lastRenderedPageBreak/>
              <w:t>3. Meeting Agenda</w:t>
            </w:r>
          </w:p>
        </w:tc>
      </w:tr>
      <w:tr w:rsidR="006E425F" w:rsidTr="00F419B5">
        <w:trPr>
          <w:trHeight w:val="611"/>
        </w:trPr>
        <w:tc>
          <w:tcPr>
            <w:tcW w:w="9289" w:type="dxa"/>
            <w:vAlign w:val="center"/>
          </w:tcPr>
          <w:p w:rsidR="00401C8F" w:rsidRDefault="00401C8F" w:rsidP="00401C8F">
            <w:pPr>
              <w:rPr>
                <w:sz w:val="20"/>
                <w:szCs w:val="20"/>
              </w:rPr>
            </w:pPr>
            <w:r>
              <w:rPr>
                <w:sz w:val="20"/>
                <w:szCs w:val="20"/>
              </w:rPr>
              <w:t xml:space="preserve">1) An overview  of the QAG activities </w:t>
            </w:r>
            <w:r w:rsidR="004E6960">
              <w:rPr>
                <w:sz w:val="20"/>
                <w:szCs w:val="20"/>
              </w:rPr>
              <w:t xml:space="preserve">from its establishment up to </w:t>
            </w:r>
            <w:r w:rsidR="006D1DBF">
              <w:rPr>
                <w:sz w:val="20"/>
                <w:szCs w:val="20"/>
              </w:rPr>
              <w:t>now</w:t>
            </w:r>
            <w:r>
              <w:rPr>
                <w:sz w:val="20"/>
                <w:szCs w:val="20"/>
              </w:rPr>
              <w:t>;</w:t>
            </w:r>
          </w:p>
          <w:p w:rsidR="00401C8F" w:rsidRPr="006E425F" w:rsidRDefault="00401C8F" w:rsidP="00356E50">
            <w:pPr>
              <w:rPr>
                <w:sz w:val="20"/>
                <w:szCs w:val="20"/>
              </w:rPr>
            </w:pPr>
            <w:r>
              <w:rPr>
                <w:sz w:val="20"/>
                <w:szCs w:val="20"/>
              </w:rPr>
              <w:t xml:space="preserve">2) Discussion about the structure and the content of </w:t>
            </w:r>
            <w:r w:rsidR="00152803">
              <w:rPr>
                <w:sz w:val="20"/>
                <w:szCs w:val="20"/>
              </w:rPr>
              <w:t xml:space="preserve">the </w:t>
            </w:r>
            <w:r>
              <w:rPr>
                <w:sz w:val="20"/>
                <w:szCs w:val="20"/>
              </w:rPr>
              <w:t>Project Quality Assurance Plan</w:t>
            </w:r>
            <w:r w:rsidR="00356E50">
              <w:rPr>
                <w:sz w:val="20"/>
                <w:szCs w:val="20"/>
              </w:rPr>
              <w:t xml:space="preserve">, supporting </w:t>
            </w:r>
            <w:r w:rsidR="007524E3">
              <w:rPr>
                <w:sz w:val="20"/>
                <w:szCs w:val="20"/>
              </w:rPr>
              <w:t>document</w:t>
            </w:r>
            <w:r w:rsidR="00356E50">
              <w:rPr>
                <w:sz w:val="20"/>
                <w:szCs w:val="20"/>
              </w:rPr>
              <w:t>ation</w:t>
            </w:r>
            <w:r w:rsidR="007524E3">
              <w:rPr>
                <w:sz w:val="20"/>
                <w:szCs w:val="20"/>
              </w:rPr>
              <w:t xml:space="preserve"> (Appendixes and Annexes) and</w:t>
            </w:r>
            <w:r>
              <w:rPr>
                <w:sz w:val="20"/>
                <w:szCs w:val="20"/>
              </w:rPr>
              <w:t xml:space="preserve"> procedure </w:t>
            </w:r>
            <w:r w:rsidR="007524E3">
              <w:rPr>
                <w:sz w:val="20"/>
                <w:szCs w:val="20"/>
              </w:rPr>
              <w:t xml:space="preserve">established </w:t>
            </w:r>
            <w:r>
              <w:rPr>
                <w:sz w:val="20"/>
                <w:szCs w:val="20"/>
              </w:rPr>
              <w:t>for quality control and monitoring;</w:t>
            </w:r>
          </w:p>
        </w:tc>
      </w:tr>
    </w:tbl>
    <w:p w:rsidR="00B23FF9" w:rsidRDefault="00B23FF9"/>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113" w:type="dxa"/>
          <w:bottom w:w="85" w:type="dxa"/>
          <w:right w:w="113" w:type="dxa"/>
        </w:tblCellMar>
        <w:tblLook w:val="04A0"/>
      </w:tblPr>
      <w:tblGrid>
        <w:gridCol w:w="9289"/>
      </w:tblGrid>
      <w:tr w:rsidR="006E425F" w:rsidTr="00F419B5">
        <w:trPr>
          <w:trHeight w:val="611"/>
        </w:trPr>
        <w:tc>
          <w:tcPr>
            <w:tcW w:w="9289" w:type="dxa"/>
            <w:vAlign w:val="center"/>
          </w:tcPr>
          <w:p w:rsidR="006E425F" w:rsidRPr="00496367" w:rsidRDefault="006E425F" w:rsidP="00F419B5">
            <w:pPr>
              <w:rPr>
                <w:color w:val="984806" w:themeColor="accent6" w:themeShade="80"/>
                <w:sz w:val="28"/>
                <w:szCs w:val="28"/>
              </w:rPr>
            </w:pPr>
            <w:r w:rsidRPr="00DF6179">
              <w:rPr>
                <w:color w:val="365F91" w:themeColor="accent1" w:themeShade="BF"/>
                <w:sz w:val="28"/>
                <w:szCs w:val="28"/>
              </w:rPr>
              <w:t>4. Meeting Notes, Decisions, Issues</w:t>
            </w:r>
          </w:p>
        </w:tc>
      </w:tr>
      <w:tr w:rsidR="006E425F" w:rsidTr="00F419B5">
        <w:trPr>
          <w:trHeight w:val="611"/>
        </w:trPr>
        <w:tc>
          <w:tcPr>
            <w:tcW w:w="9289" w:type="dxa"/>
            <w:vAlign w:val="center"/>
          </w:tcPr>
          <w:p w:rsidR="006E425F" w:rsidRDefault="007524E3" w:rsidP="00496367">
            <w:pPr>
              <w:rPr>
                <w:sz w:val="20"/>
                <w:szCs w:val="20"/>
              </w:rPr>
            </w:pPr>
            <w:r>
              <w:rPr>
                <w:sz w:val="20"/>
                <w:szCs w:val="20"/>
              </w:rPr>
              <w:t>The meeting</w:t>
            </w:r>
            <w:r w:rsidR="00401C8F">
              <w:rPr>
                <w:sz w:val="20"/>
                <w:szCs w:val="20"/>
              </w:rPr>
              <w:t xml:space="preserve"> started with the introducing of QAG members to the external evaluator. </w:t>
            </w:r>
          </w:p>
          <w:p w:rsidR="00152803" w:rsidRDefault="00152803" w:rsidP="00496367">
            <w:pPr>
              <w:rPr>
                <w:sz w:val="20"/>
                <w:szCs w:val="20"/>
              </w:rPr>
            </w:pPr>
          </w:p>
          <w:p w:rsidR="00152803" w:rsidRDefault="00356E50" w:rsidP="00401C8F">
            <w:pPr>
              <w:rPr>
                <w:sz w:val="20"/>
                <w:szCs w:val="20"/>
              </w:rPr>
            </w:pPr>
            <w:r>
              <w:rPr>
                <w:sz w:val="20"/>
                <w:szCs w:val="20"/>
              </w:rPr>
              <w:t xml:space="preserve">1) </w:t>
            </w:r>
            <w:r w:rsidR="00401C8F">
              <w:rPr>
                <w:sz w:val="20"/>
                <w:szCs w:val="20"/>
              </w:rPr>
              <w:t xml:space="preserve">WP6 chair – Vladimir </w:t>
            </w:r>
            <w:proofErr w:type="spellStart"/>
            <w:r w:rsidR="00401C8F">
              <w:rPr>
                <w:sz w:val="20"/>
                <w:szCs w:val="20"/>
              </w:rPr>
              <w:t>Blagojević</w:t>
            </w:r>
            <w:proofErr w:type="spellEnd"/>
            <w:r w:rsidR="00401C8F">
              <w:rPr>
                <w:sz w:val="20"/>
                <w:szCs w:val="20"/>
              </w:rPr>
              <w:t xml:space="preserve"> – gave an overview of QAG activities fr</w:t>
            </w:r>
            <w:r w:rsidR="007524E3">
              <w:rPr>
                <w:sz w:val="20"/>
                <w:szCs w:val="20"/>
              </w:rPr>
              <w:t xml:space="preserve">om its establishment up to the meeting </w:t>
            </w:r>
            <w:r w:rsidR="004E6960">
              <w:rPr>
                <w:sz w:val="20"/>
                <w:szCs w:val="20"/>
              </w:rPr>
              <w:t xml:space="preserve">and made a </w:t>
            </w:r>
            <w:r w:rsidR="00401C8F">
              <w:rPr>
                <w:sz w:val="20"/>
                <w:szCs w:val="20"/>
              </w:rPr>
              <w:t>presentation of the Annual Review of the QAG for project year 1.</w:t>
            </w:r>
          </w:p>
          <w:p w:rsidR="00152803" w:rsidRDefault="00152803" w:rsidP="00401C8F">
            <w:pPr>
              <w:rPr>
                <w:sz w:val="20"/>
                <w:szCs w:val="20"/>
              </w:rPr>
            </w:pPr>
          </w:p>
          <w:p w:rsidR="004F32A6" w:rsidRDefault="00356E50" w:rsidP="00152803">
            <w:pPr>
              <w:rPr>
                <w:sz w:val="20"/>
                <w:szCs w:val="20"/>
              </w:rPr>
            </w:pPr>
            <w:r>
              <w:rPr>
                <w:sz w:val="20"/>
                <w:szCs w:val="20"/>
              </w:rPr>
              <w:t xml:space="preserve">2) </w:t>
            </w:r>
            <w:r w:rsidR="00152803">
              <w:rPr>
                <w:sz w:val="20"/>
                <w:szCs w:val="20"/>
              </w:rPr>
              <w:t>A discussion about the appropriate procedure for measuring the quality of the deliverable content</w:t>
            </w:r>
            <w:r w:rsidR="007524E3">
              <w:rPr>
                <w:sz w:val="20"/>
                <w:szCs w:val="20"/>
              </w:rPr>
              <w:t xml:space="preserve"> </w:t>
            </w:r>
            <w:r w:rsidR="00152803">
              <w:rPr>
                <w:sz w:val="20"/>
                <w:szCs w:val="20"/>
              </w:rPr>
              <w:t xml:space="preserve">followed. The external evaluator suggested that the project quality control and monitoring mean not only monitoring the timeline of deliverables implementation but also the measuring of the quality of deliverable content. </w:t>
            </w:r>
            <w:r w:rsidR="004F32A6">
              <w:rPr>
                <w:sz w:val="20"/>
                <w:szCs w:val="20"/>
              </w:rPr>
              <w:t xml:space="preserve">It should be emphasized and cleared </w:t>
            </w:r>
            <w:r w:rsidR="004E6960">
              <w:rPr>
                <w:sz w:val="20"/>
                <w:szCs w:val="20"/>
              </w:rPr>
              <w:t>– within the PQAP – that</w:t>
            </w:r>
            <w:r w:rsidR="004F32A6">
              <w:rPr>
                <w:sz w:val="20"/>
                <w:szCs w:val="20"/>
              </w:rPr>
              <w:t xml:space="preserve"> of equal importance are </w:t>
            </w:r>
            <w:r w:rsidR="004E6960">
              <w:rPr>
                <w:sz w:val="20"/>
                <w:szCs w:val="20"/>
              </w:rPr>
              <w:t xml:space="preserve">both </w:t>
            </w:r>
            <w:r w:rsidR="004F32A6">
              <w:rPr>
                <w:sz w:val="20"/>
                <w:szCs w:val="20"/>
              </w:rPr>
              <w:t xml:space="preserve">the quality of the content and the timeline of deliverable implementation. </w:t>
            </w:r>
            <w:r w:rsidR="00152803">
              <w:rPr>
                <w:sz w:val="20"/>
                <w:szCs w:val="20"/>
              </w:rPr>
              <w:t xml:space="preserve">In regard to this, </w:t>
            </w:r>
            <w:proofErr w:type="spellStart"/>
            <w:r w:rsidR="00152803">
              <w:rPr>
                <w:sz w:val="20"/>
                <w:szCs w:val="20"/>
              </w:rPr>
              <w:t>al</w:t>
            </w:r>
            <w:proofErr w:type="spellEnd"/>
            <w:r w:rsidR="00152803">
              <w:rPr>
                <w:sz w:val="20"/>
                <w:szCs w:val="20"/>
              </w:rPr>
              <w:t xml:space="preserve"> members of QAG agre</w:t>
            </w:r>
            <w:r w:rsidR="007524E3">
              <w:rPr>
                <w:sz w:val="20"/>
                <w:szCs w:val="20"/>
              </w:rPr>
              <w:t xml:space="preserve">ed that </w:t>
            </w:r>
            <w:r w:rsidR="004F32A6">
              <w:rPr>
                <w:sz w:val="20"/>
                <w:szCs w:val="20"/>
              </w:rPr>
              <w:t xml:space="preserve">the </w:t>
            </w:r>
            <w:r w:rsidR="00152803">
              <w:rPr>
                <w:sz w:val="20"/>
                <w:szCs w:val="20"/>
              </w:rPr>
              <w:t>procedure for measuring the quality of deliverable content should be explained in a more detailed way within the P</w:t>
            </w:r>
            <w:r w:rsidR="004E6960">
              <w:rPr>
                <w:sz w:val="20"/>
                <w:szCs w:val="20"/>
              </w:rPr>
              <w:t>QAP</w:t>
            </w:r>
            <w:r w:rsidR="00152803">
              <w:rPr>
                <w:sz w:val="20"/>
                <w:szCs w:val="20"/>
              </w:rPr>
              <w:t>.</w:t>
            </w:r>
          </w:p>
          <w:p w:rsidR="00401C8F" w:rsidRDefault="00152803" w:rsidP="00152803">
            <w:pPr>
              <w:rPr>
                <w:sz w:val="20"/>
                <w:szCs w:val="20"/>
              </w:rPr>
            </w:pPr>
            <w:r>
              <w:rPr>
                <w:sz w:val="20"/>
                <w:szCs w:val="20"/>
              </w:rPr>
              <w:t xml:space="preserve">It was </w:t>
            </w:r>
            <w:r w:rsidR="004F32A6">
              <w:rPr>
                <w:sz w:val="20"/>
                <w:szCs w:val="20"/>
              </w:rPr>
              <w:t xml:space="preserve">concluded </w:t>
            </w:r>
            <w:r>
              <w:rPr>
                <w:sz w:val="20"/>
                <w:szCs w:val="20"/>
              </w:rPr>
              <w:t xml:space="preserve">that the </w:t>
            </w:r>
            <w:r w:rsidR="004E6960">
              <w:rPr>
                <w:sz w:val="20"/>
                <w:szCs w:val="20"/>
              </w:rPr>
              <w:t xml:space="preserve">feedback of the particular target group in the evaluation of the specific deliverable </w:t>
            </w:r>
            <w:r>
              <w:rPr>
                <w:sz w:val="20"/>
                <w:szCs w:val="20"/>
              </w:rPr>
              <w:t xml:space="preserve">should be of great importance for </w:t>
            </w:r>
            <w:r w:rsidR="007524E3">
              <w:rPr>
                <w:sz w:val="20"/>
                <w:szCs w:val="20"/>
              </w:rPr>
              <w:t xml:space="preserve">the future </w:t>
            </w:r>
            <w:r>
              <w:rPr>
                <w:sz w:val="20"/>
                <w:szCs w:val="20"/>
              </w:rPr>
              <w:t xml:space="preserve">measuring </w:t>
            </w:r>
            <w:r w:rsidR="007524E3">
              <w:rPr>
                <w:sz w:val="20"/>
                <w:szCs w:val="20"/>
              </w:rPr>
              <w:t xml:space="preserve">of </w:t>
            </w:r>
            <w:r>
              <w:rPr>
                <w:sz w:val="20"/>
                <w:szCs w:val="20"/>
              </w:rPr>
              <w:t xml:space="preserve">the </w:t>
            </w:r>
            <w:r w:rsidR="004E6960">
              <w:rPr>
                <w:sz w:val="20"/>
                <w:szCs w:val="20"/>
              </w:rPr>
              <w:t xml:space="preserve">quality of deliverable content. Hence, the Annexes 1-4 of the PQAP need to be used as the key tools for measuring the quality of deliverable content. </w:t>
            </w:r>
            <w:r>
              <w:rPr>
                <w:sz w:val="20"/>
                <w:szCs w:val="20"/>
              </w:rPr>
              <w:t xml:space="preserve">For example, in measuring the quality of new courses and study programs the </w:t>
            </w:r>
            <w:r w:rsidR="00B03F15">
              <w:rPr>
                <w:sz w:val="20"/>
                <w:szCs w:val="20"/>
              </w:rPr>
              <w:t xml:space="preserve">anonymous </w:t>
            </w:r>
            <w:r>
              <w:rPr>
                <w:sz w:val="20"/>
                <w:szCs w:val="20"/>
              </w:rPr>
              <w:t>students’ evaluation through an online questionnaire should be taken as the main indicator of the un/successful implementation of these deliverables.</w:t>
            </w:r>
          </w:p>
          <w:p w:rsidR="00152803" w:rsidRDefault="00152803" w:rsidP="00152803">
            <w:pPr>
              <w:rPr>
                <w:sz w:val="20"/>
                <w:szCs w:val="20"/>
              </w:rPr>
            </w:pPr>
          </w:p>
          <w:p w:rsidR="00356E50" w:rsidRDefault="00152803" w:rsidP="00152803">
            <w:pPr>
              <w:rPr>
                <w:sz w:val="20"/>
                <w:szCs w:val="20"/>
              </w:rPr>
            </w:pPr>
            <w:r>
              <w:rPr>
                <w:sz w:val="20"/>
                <w:szCs w:val="20"/>
              </w:rPr>
              <w:t xml:space="preserve">The external evaluator also suggested to the QAG members to pay </w:t>
            </w:r>
            <w:r w:rsidR="007524E3">
              <w:rPr>
                <w:sz w:val="20"/>
                <w:szCs w:val="20"/>
              </w:rPr>
              <w:t xml:space="preserve">special </w:t>
            </w:r>
            <w:r>
              <w:rPr>
                <w:sz w:val="20"/>
                <w:szCs w:val="20"/>
              </w:rPr>
              <w:t xml:space="preserve">attention to the general goal of the DEMUSIS project which is </w:t>
            </w:r>
            <w:r w:rsidRPr="00152803">
              <w:rPr>
                <w:i/>
                <w:sz w:val="20"/>
                <w:szCs w:val="20"/>
              </w:rPr>
              <w:t>changing the mind set-up within each project partners’ institution</w:t>
            </w:r>
            <w:r>
              <w:rPr>
                <w:sz w:val="20"/>
                <w:szCs w:val="20"/>
              </w:rPr>
              <w:t>. The possible risks and problems in reaching this goal as well</w:t>
            </w:r>
            <w:r w:rsidR="007524E3">
              <w:rPr>
                <w:sz w:val="20"/>
                <w:szCs w:val="20"/>
              </w:rPr>
              <w:t xml:space="preserve"> as</w:t>
            </w:r>
            <w:r>
              <w:rPr>
                <w:sz w:val="20"/>
                <w:szCs w:val="20"/>
              </w:rPr>
              <w:t xml:space="preserve"> the procedures for measuring </w:t>
            </w:r>
            <w:r w:rsidR="004E6960">
              <w:rPr>
                <w:sz w:val="20"/>
                <w:szCs w:val="20"/>
              </w:rPr>
              <w:t xml:space="preserve">the success of </w:t>
            </w:r>
            <w:r>
              <w:rPr>
                <w:sz w:val="20"/>
                <w:szCs w:val="20"/>
              </w:rPr>
              <w:t xml:space="preserve">it were discussed. </w:t>
            </w:r>
            <w:r w:rsidR="007524E3">
              <w:rPr>
                <w:sz w:val="20"/>
                <w:szCs w:val="20"/>
              </w:rPr>
              <w:t xml:space="preserve">The negative reactions to the word </w:t>
            </w:r>
            <w:r w:rsidR="007524E3">
              <w:rPr>
                <w:i/>
                <w:sz w:val="20"/>
                <w:szCs w:val="20"/>
              </w:rPr>
              <w:t>entrepreneurship</w:t>
            </w:r>
            <w:r w:rsidR="007524E3">
              <w:rPr>
                <w:sz w:val="20"/>
                <w:szCs w:val="20"/>
              </w:rPr>
              <w:t xml:space="preserve"> were identified as a risk for the successful realization of the g</w:t>
            </w:r>
            <w:r w:rsidR="00356E50">
              <w:rPr>
                <w:sz w:val="20"/>
                <w:szCs w:val="20"/>
              </w:rPr>
              <w:t>eneral project goal</w:t>
            </w:r>
            <w:r w:rsidR="007524E3">
              <w:rPr>
                <w:sz w:val="20"/>
                <w:szCs w:val="20"/>
              </w:rPr>
              <w:t xml:space="preserve"> since this word is usually connected with the business and money setting. Paulina Gut emphasized the fact that within AEC meetings one of the goals was to find alternative words for </w:t>
            </w:r>
            <w:r w:rsidR="004E6960">
              <w:rPr>
                <w:sz w:val="20"/>
                <w:szCs w:val="20"/>
              </w:rPr>
              <w:t xml:space="preserve">the </w:t>
            </w:r>
            <w:r w:rsidR="004E6960" w:rsidRPr="004E6960">
              <w:rPr>
                <w:i/>
                <w:sz w:val="20"/>
                <w:szCs w:val="20"/>
              </w:rPr>
              <w:t>e-word</w:t>
            </w:r>
            <w:r w:rsidR="004E6960">
              <w:rPr>
                <w:i/>
                <w:sz w:val="20"/>
                <w:szCs w:val="20"/>
              </w:rPr>
              <w:t xml:space="preserve"> </w:t>
            </w:r>
            <w:r w:rsidR="004E6960">
              <w:rPr>
                <w:sz w:val="20"/>
                <w:szCs w:val="20"/>
              </w:rPr>
              <w:t xml:space="preserve">– </w:t>
            </w:r>
            <w:r w:rsidR="007524E3">
              <w:rPr>
                <w:i/>
                <w:sz w:val="20"/>
                <w:szCs w:val="20"/>
              </w:rPr>
              <w:t>entrepreneurship</w:t>
            </w:r>
            <w:r w:rsidR="007524E3">
              <w:rPr>
                <w:sz w:val="20"/>
                <w:szCs w:val="20"/>
              </w:rPr>
              <w:t xml:space="preserve"> </w:t>
            </w:r>
            <w:r w:rsidR="004E6960">
              <w:rPr>
                <w:sz w:val="20"/>
                <w:szCs w:val="20"/>
              </w:rPr>
              <w:t xml:space="preserve">– </w:t>
            </w:r>
            <w:r w:rsidR="007524E3">
              <w:rPr>
                <w:sz w:val="20"/>
                <w:szCs w:val="20"/>
              </w:rPr>
              <w:t>in order to overcome these negative reactions that are often present within the European music HEIs. The possible alternative word</w:t>
            </w:r>
            <w:r w:rsidR="00356E50">
              <w:rPr>
                <w:sz w:val="20"/>
                <w:szCs w:val="20"/>
              </w:rPr>
              <w:t>s</w:t>
            </w:r>
            <w:r w:rsidR="007524E3">
              <w:rPr>
                <w:sz w:val="20"/>
                <w:szCs w:val="20"/>
              </w:rPr>
              <w:t xml:space="preserve"> could be </w:t>
            </w:r>
            <w:r w:rsidR="004E6960">
              <w:rPr>
                <w:sz w:val="20"/>
                <w:szCs w:val="20"/>
              </w:rPr>
              <w:t xml:space="preserve">more descriptive, like improvement of </w:t>
            </w:r>
            <w:r w:rsidR="004F32A6">
              <w:rPr>
                <w:sz w:val="20"/>
                <w:szCs w:val="20"/>
              </w:rPr>
              <w:t>car</w:t>
            </w:r>
            <w:r w:rsidR="007524E3">
              <w:rPr>
                <w:sz w:val="20"/>
                <w:szCs w:val="20"/>
              </w:rPr>
              <w:t>e</w:t>
            </w:r>
            <w:r w:rsidR="004F32A6">
              <w:rPr>
                <w:sz w:val="20"/>
                <w:szCs w:val="20"/>
              </w:rPr>
              <w:t>e</w:t>
            </w:r>
            <w:r w:rsidR="007524E3">
              <w:rPr>
                <w:sz w:val="20"/>
                <w:szCs w:val="20"/>
              </w:rPr>
              <w:t>r skills</w:t>
            </w:r>
            <w:r w:rsidR="004F32A6">
              <w:rPr>
                <w:sz w:val="20"/>
                <w:szCs w:val="20"/>
              </w:rPr>
              <w:t xml:space="preserve"> or </w:t>
            </w:r>
            <w:r w:rsidR="004E6960">
              <w:rPr>
                <w:sz w:val="20"/>
                <w:szCs w:val="20"/>
              </w:rPr>
              <w:t xml:space="preserve">acquiring of </w:t>
            </w:r>
            <w:r w:rsidR="007524E3">
              <w:rPr>
                <w:sz w:val="20"/>
                <w:szCs w:val="20"/>
              </w:rPr>
              <w:t>self-promotion skills.</w:t>
            </w:r>
            <w:r w:rsidR="00356E50">
              <w:rPr>
                <w:sz w:val="20"/>
                <w:szCs w:val="20"/>
              </w:rPr>
              <w:t xml:space="preserve"> </w:t>
            </w:r>
          </w:p>
          <w:p w:rsidR="00152803" w:rsidRDefault="006D1DBF" w:rsidP="00152803">
            <w:pPr>
              <w:rPr>
                <w:sz w:val="20"/>
                <w:szCs w:val="20"/>
              </w:rPr>
            </w:pPr>
            <w:r>
              <w:rPr>
                <w:sz w:val="20"/>
                <w:szCs w:val="20"/>
              </w:rPr>
              <w:t>It is concluded that</w:t>
            </w:r>
            <w:r w:rsidR="00356E50">
              <w:rPr>
                <w:sz w:val="20"/>
                <w:szCs w:val="20"/>
              </w:rPr>
              <w:t xml:space="preserve"> mechanisms for changing the mind set-up of students and faculty staff </w:t>
            </w:r>
            <w:r>
              <w:rPr>
                <w:sz w:val="20"/>
                <w:szCs w:val="20"/>
              </w:rPr>
              <w:t xml:space="preserve">could be improved </w:t>
            </w:r>
            <w:r w:rsidR="00356E50">
              <w:rPr>
                <w:sz w:val="20"/>
                <w:szCs w:val="20"/>
              </w:rPr>
              <w:t>through project dissemination activities where project message needs to be clear: artistic talent stays as the most important component but having self-promotion skills is crucial for making a successful caree</w:t>
            </w:r>
            <w:r w:rsidR="00B03F15">
              <w:rPr>
                <w:sz w:val="20"/>
                <w:szCs w:val="20"/>
              </w:rPr>
              <w:t>r on</w:t>
            </w:r>
            <w:r w:rsidR="00356E50">
              <w:rPr>
                <w:sz w:val="20"/>
                <w:szCs w:val="20"/>
              </w:rPr>
              <w:t xml:space="preserve"> the digital media culture global market.</w:t>
            </w:r>
          </w:p>
          <w:p w:rsidR="00356E50" w:rsidRDefault="00356E50" w:rsidP="00152803">
            <w:pPr>
              <w:rPr>
                <w:sz w:val="20"/>
                <w:szCs w:val="20"/>
              </w:rPr>
            </w:pPr>
            <w:r>
              <w:rPr>
                <w:sz w:val="20"/>
                <w:szCs w:val="20"/>
              </w:rPr>
              <w:t>In strengthening the general project goal – changing the mind set-up – the possibilities of founding the car</w:t>
            </w:r>
            <w:r w:rsidR="006D1DBF">
              <w:rPr>
                <w:sz w:val="20"/>
                <w:szCs w:val="20"/>
              </w:rPr>
              <w:t xml:space="preserve">eer research center for work </w:t>
            </w:r>
            <w:r>
              <w:rPr>
                <w:sz w:val="20"/>
                <w:szCs w:val="20"/>
              </w:rPr>
              <w:t xml:space="preserve">with students and alumni within project partners national </w:t>
            </w:r>
            <w:r w:rsidR="00B03F15">
              <w:rPr>
                <w:sz w:val="20"/>
                <w:szCs w:val="20"/>
              </w:rPr>
              <w:t>HEIs</w:t>
            </w:r>
            <w:r>
              <w:rPr>
                <w:sz w:val="20"/>
                <w:szCs w:val="20"/>
              </w:rPr>
              <w:t xml:space="preserve"> have been discussed. </w:t>
            </w:r>
            <w:r w:rsidR="00B03F15">
              <w:rPr>
                <w:sz w:val="20"/>
                <w:szCs w:val="20"/>
              </w:rPr>
              <w:t>The interdisciplinary cooperation of students from different faculties</w:t>
            </w:r>
            <w:r w:rsidR="006D1DBF">
              <w:rPr>
                <w:sz w:val="20"/>
                <w:szCs w:val="20"/>
              </w:rPr>
              <w:t xml:space="preserve"> within one university could be also very useful for</w:t>
            </w:r>
            <w:r w:rsidR="00B03F15">
              <w:rPr>
                <w:sz w:val="20"/>
                <w:szCs w:val="20"/>
              </w:rPr>
              <w:t xml:space="preserve"> studen</w:t>
            </w:r>
            <w:r w:rsidR="006D1DBF">
              <w:rPr>
                <w:sz w:val="20"/>
                <w:szCs w:val="20"/>
              </w:rPr>
              <w:t xml:space="preserve">ts and teachers in getting </w:t>
            </w:r>
            <w:r w:rsidR="00B03F15">
              <w:rPr>
                <w:sz w:val="20"/>
                <w:szCs w:val="20"/>
              </w:rPr>
              <w:t>students together and provid</w:t>
            </w:r>
            <w:r w:rsidR="006D1DBF">
              <w:rPr>
                <w:sz w:val="20"/>
                <w:szCs w:val="20"/>
              </w:rPr>
              <w:t>ing</w:t>
            </w:r>
            <w:r w:rsidR="00B03F15">
              <w:rPr>
                <w:sz w:val="20"/>
                <w:szCs w:val="20"/>
              </w:rPr>
              <w:t xml:space="preserve"> the most efficient resources for making the materials and content for media promotion of musicians.</w:t>
            </w:r>
          </w:p>
          <w:p w:rsidR="00B03F15" w:rsidRDefault="00B03F15" w:rsidP="00152803">
            <w:pPr>
              <w:rPr>
                <w:sz w:val="20"/>
                <w:szCs w:val="20"/>
              </w:rPr>
            </w:pPr>
          </w:p>
          <w:p w:rsidR="004F32A6" w:rsidRDefault="004F32A6" w:rsidP="00152803">
            <w:pPr>
              <w:rPr>
                <w:sz w:val="20"/>
                <w:szCs w:val="20"/>
              </w:rPr>
            </w:pPr>
            <w:r>
              <w:rPr>
                <w:sz w:val="20"/>
                <w:szCs w:val="20"/>
              </w:rPr>
              <w:t>The following adjustment of the PQAP are approved:</w:t>
            </w:r>
          </w:p>
          <w:p w:rsidR="004F32A6" w:rsidRDefault="004F32A6" w:rsidP="00152803">
            <w:pPr>
              <w:rPr>
                <w:sz w:val="20"/>
                <w:szCs w:val="20"/>
              </w:rPr>
            </w:pPr>
            <w:r>
              <w:rPr>
                <w:sz w:val="20"/>
                <w:szCs w:val="20"/>
              </w:rPr>
              <w:t xml:space="preserve">– amendment to the section “Internal evaluation responsibilities” in order to make clear that the goal of QAG is to monitor both the quality of the content and the timeline of deliverable implementation and to define the procedure for measuring the quality of deliverable content. </w:t>
            </w:r>
          </w:p>
          <w:p w:rsidR="004F32A6" w:rsidRDefault="004F32A6" w:rsidP="00152803">
            <w:pPr>
              <w:rPr>
                <w:sz w:val="20"/>
                <w:szCs w:val="20"/>
              </w:rPr>
            </w:pPr>
            <w:r>
              <w:rPr>
                <w:sz w:val="20"/>
                <w:szCs w:val="20"/>
              </w:rPr>
              <w:t xml:space="preserve">– amendment to the section “Internal evaluation responsibilities” in order to define a timeline of WP 6 reports </w:t>
            </w:r>
            <w:r>
              <w:rPr>
                <w:sz w:val="20"/>
                <w:szCs w:val="20"/>
              </w:rPr>
              <w:lastRenderedPageBreak/>
              <w:t xml:space="preserve">submissions in 10 </w:t>
            </w:r>
            <w:r w:rsidR="00356E50">
              <w:rPr>
                <w:sz w:val="20"/>
                <w:szCs w:val="20"/>
              </w:rPr>
              <w:t>reporting periods: 2 WP6 reports had to be submitted by WP6 chair in the 1</w:t>
            </w:r>
            <w:r w:rsidR="00356E50" w:rsidRPr="00356E50">
              <w:rPr>
                <w:sz w:val="20"/>
                <w:szCs w:val="20"/>
                <w:vertAlign w:val="superscript"/>
              </w:rPr>
              <w:t>st</w:t>
            </w:r>
            <w:r w:rsidR="00356E50">
              <w:rPr>
                <w:sz w:val="20"/>
                <w:szCs w:val="20"/>
              </w:rPr>
              <w:t xml:space="preserve"> project year; 4 have to be submitted in the 2</w:t>
            </w:r>
            <w:r w:rsidR="00356E50" w:rsidRPr="00356E50">
              <w:rPr>
                <w:sz w:val="20"/>
                <w:szCs w:val="20"/>
                <w:vertAlign w:val="superscript"/>
              </w:rPr>
              <w:t>nd</w:t>
            </w:r>
            <w:r w:rsidR="00356E50">
              <w:rPr>
                <w:sz w:val="20"/>
                <w:szCs w:val="20"/>
              </w:rPr>
              <w:t xml:space="preserve"> and 3</w:t>
            </w:r>
            <w:r w:rsidR="00356E50" w:rsidRPr="00356E50">
              <w:rPr>
                <w:sz w:val="20"/>
                <w:szCs w:val="20"/>
                <w:vertAlign w:val="superscript"/>
              </w:rPr>
              <w:t>rd</w:t>
            </w:r>
            <w:r w:rsidR="00356E50">
              <w:rPr>
                <w:sz w:val="20"/>
                <w:szCs w:val="20"/>
              </w:rPr>
              <w:t xml:space="preserve"> project year, on every 3 months.</w:t>
            </w:r>
          </w:p>
          <w:p w:rsidR="004F32A6" w:rsidRDefault="004F32A6" w:rsidP="00152803">
            <w:pPr>
              <w:rPr>
                <w:sz w:val="20"/>
                <w:szCs w:val="20"/>
              </w:rPr>
            </w:pPr>
            <w:r>
              <w:rPr>
                <w:sz w:val="20"/>
                <w:szCs w:val="20"/>
              </w:rPr>
              <w:t>– adjustment of “Table 3: WP6 work plan for project year 2 and 3” in order to define the dates of QAG online Skype meetings;</w:t>
            </w:r>
          </w:p>
          <w:p w:rsidR="00152803" w:rsidRDefault="004F32A6" w:rsidP="00356E50">
            <w:pPr>
              <w:rPr>
                <w:sz w:val="20"/>
                <w:szCs w:val="20"/>
              </w:rPr>
            </w:pPr>
            <w:r>
              <w:rPr>
                <w:sz w:val="20"/>
                <w:szCs w:val="20"/>
              </w:rPr>
              <w:t xml:space="preserve">– adjustment of Table 5 “Responsible for internal evaluation of </w:t>
            </w:r>
            <w:proofErr w:type="spellStart"/>
            <w:r>
              <w:rPr>
                <w:sz w:val="20"/>
                <w:szCs w:val="20"/>
              </w:rPr>
              <w:t>deliverables”</w:t>
            </w:r>
            <w:r w:rsidR="00356E50">
              <w:rPr>
                <w:sz w:val="20"/>
                <w:szCs w:val="20"/>
              </w:rPr>
              <w:t>and</w:t>
            </w:r>
            <w:proofErr w:type="spellEnd"/>
            <w:r w:rsidR="00356E50">
              <w:rPr>
                <w:sz w:val="20"/>
                <w:szCs w:val="20"/>
              </w:rPr>
              <w:t xml:space="preserve"> Appendix 1</w:t>
            </w:r>
            <w:r>
              <w:rPr>
                <w:sz w:val="20"/>
                <w:szCs w:val="20"/>
              </w:rPr>
              <w:t xml:space="preserve"> since the QAG responsible person for evaluation of the deliverable 2.6 had to be changed due to possible conflict of interest – the QAG member Sanela </w:t>
            </w:r>
            <w:proofErr w:type="spellStart"/>
            <w:r>
              <w:rPr>
                <w:sz w:val="20"/>
                <w:szCs w:val="20"/>
              </w:rPr>
              <w:t>Nikolić</w:t>
            </w:r>
            <w:proofErr w:type="spellEnd"/>
            <w:r>
              <w:rPr>
                <w:sz w:val="20"/>
                <w:szCs w:val="20"/>
              </w:rPr>
              <w:t xml:space="preserve"> is included in distance learning platform creation within the P1. The new QAG responsible member for the evaluation of the deliverable 6.2 is Paulina Gut.</w:t>
            </w:r>
          </w:p>
          <w:p w:rsidR="00B03F15" w:rsidRDefault="00B03F15" w:rsidP="00356E50">
            <w:pPr>
              <w:rPr>
                <w:sz w:val="20"/>
                <w:szCs w:val="20"/>
              </w:rPr>
            </w:pPr>
          </w:p>
          <w:p w:rsidR="00B03F15" w:rsidRDefault="00B03F15" w:rsidP="00356E50">
            <w:pPr>
              <w:rPr>
                <w:sz w:val="20"/>
                <w:szCs w:val="20"/>
              </w:rPr>
            </w:pPr>
            <w:r>
              <w:rPr>
                <w:sz w:val="20"/>
                <w:szCs w:val="20"/>
              </w:rPr>
              <w:t>Other meeting notes, decisions and issues:</w:t>
            </w:r>
          </w:p>
          <w:p w:rsidR="00B03F15" w:rsidRDefault="00B03F15" w:rsidP="00356E50">
            <w:pPr>
              <w:rPr>
                <w:sz w:val="20"/>
                <w:szCs w:val="20"/>
              </w:rPr>
            </w:pPr>
            <w:r>
              <w:rPr>
                <w:sz w:val="20"/>
                <w:szCs w:val="20"/>
              </w:rPr>
              <w:t xml:space="preserve">– The question of how </w:t>
            </w:r>
            <w:proofErr w:type="spellStart"/>
            <w:r>
              <w:rPr>
                <w:sz w:val="20"/>
                <w:szCs w:val="20"/>
              </w:rPr>
              <w:t>LoLa</w:t>
            </w:r>
            <w:proofErr w:type="spellEnd"/>
            <w:r>
              <w:rPr>
                <w:sz w:val="20"/>
                <w:szCs w:val="20"/>
              </w:rPr>
              <w:t xml:space="preserve"> equipment will be used within the project has been posed by the external evaluator. The suggestion is not only to use the </w:t>
            </w:r>
            <w:proofErr w:type="spellStart"/>
            <w:r>
              <w:rPr>
                <w:sz w:val="20"/>
                <w:szCs w:val="20"/>
              </w:rPr>
              <w:t>LoLa</w:t>
            </w:r>
            <w:proofErr w:type="spellEnd"/>
            <w:r>
              <w:rPr>
                <w:sz w:val="20"/>
                <w:szCs w:val="20"/>
              </w:rPr>
              <w:t xml:space="preserve"> equipment for strengthening the teaching process but also to use it for project dissemination activities. </w:t>
            </w:r>
          </w:p>
          <w:p w:rsidR="00B03F15" w:rsidRPr="006E425F" w:rsidRDefault="00B03F15" w:rsidP="001B4A82">
            <w:pPr>
              <w:rPr>
                <w:sz w:val="20"/>
                <w:szCs w:val="20"/>
              </w:rPr>
            </w:pPr>
            <w:r>
              <w:rPr>
                <w:sz w:val="20"/>
                <w:szCs w:val="20"/>
              </w:rPr>
              <w:t xml:space="preserve">– In order to provide the </w:t>
            </w:r>
            <w:proofErr w:type="spellStart"/>
            <w:r>
              <w:rPr>
                <w:sz w:val="20"/>
                <w:szCs w:val="20"/>
              </w:rPr>
              <w:t>longterm</w:t>
            </w:r>
            <w:proofErr w:type="spellEnd"/>
            <w:r>
              <w:rPr>
                <w:sz w:val="20"/>
                <w:szCs w:val="20"/>
              </w:rPr>
              <w:t xml:space="preserve"> sustainability of some project deliverables, the external evaluator recommended the implementation of the new study programs along with the textbooks, handbooks and online courses both in Serbian and in English. This would result in </w:t>
            </w:r>
            <w:r w:rsidR="006D1DBF">
              <w:rPr>
                <w:sz w:val="20"/>
                <w:szCs w:val="20"/>
              </w:rPr>
              <w:t xml:space="preserve">the </w:t>
            </w:r>
            <w:r>
              <w:rPr>
                <w:sz w:val="20"/>
                <w:szCs w:val="20"/>
              </w:rPr>
              <w:t>expansion of project impact beyond the national project partners’ country and attract potential student</w:t>
            </w:r>
            <w:r w:rsidR="006D1DBF">
              <w:rPr>
                <w:sz w:val="20"/>
                <w:szCs w:val="20"/>
              </w:rPr>
              <w:t>s</w:t>
            </w:r>
            <w:r>
              <w:rPr>
                <w:sz w:val="20"/>
                <w:szCs w:val="20"/>
              </w:rPr>
              <w:t xml:space="preserve"> from the region or abroad to </w:t>
            </w:r>
            <w:r w:rsidR="001B4A82">
              <w:rPr>
                <w:sz w:val="20"/>
                <w:szCs w:val="20"/>
              </w:rPr>
              <w:t>study d</w:t>
            </w:r>
            <w:r>
              <w:rPr>
                <w:sz w:val="20"/>
                <w:szCs w:val="20"/>
              </w:rPr>
              <w:t>igital and entrepreneurship skills at the new master study programs at project partner 1.</w:t>
            </w:r>
          </w:p>
        </w:tc>
      </w:tr>
    </w:tbl>
    <w:p w:rsidR="00B23FF9" w:rsidRDefault="00B23FF9"/>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113" w:type="dxa"/>
          <w:bottom w:w="85" w:type="dxa"/>
          <w:right w:w="113" w:type="dxa"/>
        </w:tblCellMar>
        <w:tblLook w:val="04A0"/>
      </w:tblPr>
      <w:tblGrid>
        <w:gridCol w:w="5500"/>
        <w:gridCol w:w="1984"/>
        <w:gridCol w:w="1805"/>
      </w:tblGrid>
      <w:tr w:rsidR="006E425F" w:rsidTr="00F419B5">
        <w:trPr>
          <w:trHeight w:val="611"/>
        </w:trPr>
        <w:tc>
          <w:tcPr>
            <w:tcW w:w="9289" w:type="dxa"/>
            <w:gridSpan w:val="3"/>
            <w:vAlign w:val="center"/>
          </w:tcPr>
          <w:p w:rsidR="006E425F" w:rsidRPr="00DF6179" w:rsidRDefault="006E425F" w:rsidP="00F419B5">
            <w:pPr>
              <w:rPr>
                <w:color w:val="D537B3"/>
                <w:sz w:val="28"/>
                <w:szCs w:val="28"/>
              </w:rPr>
            </w:pPr>
            <w:r w:rsidRPr="00DF6179">
              <w:rPr>
                <w:color w:val="365F91" w:themeColor="accent1" w:themeShade="BF"/>
                <w:sz w:val="28"/>
                <w:szCs w:val="28"/>
              </w:rPr>
              <w:t>5. Actions</w:t>
            </w:r>
          </w:p>
        </w:tc>
      </w:tr>
      <w:tr w:rsidR="00004A98" w:rsidTr="00004A98">
        <w:tc>
          <w:tcPr>
            <w:tcW w:w="5500" w:type="dxa"/>
            <w:shd w:val="clear" w:color="auto" w:fill="DBE5F1" w:themeFill="accent1" w:themeFillTint="33"/>
            <w:vAlign w:val="center"/>
          </w:tcPr>
          <w:p w:rsidR="00004A98" w:rsidRDefault="00004A98" w:rsidP="00F419B5">
            <w:r>
              <w:t>Action</w:t>
            </w:r>
          </w:p>
        </w:tc>
        <w:tc>
          <w:tcPr>
            <w:tcW w:w="1984" w:type="dxa"/>
            <w:shd w:val="clear" w:color="auto" w:fill="DBE5F1" w:themeFill="accent1" w:themeFillTint="33"/>
            <w:vAlign w:val="center"/>
          </w:tcPr>
          <w:p w:rsidR="00004A98" w:rsidRDefault="00004A98" w:rsidP="00F419B5">
            <w:r w:rsidRPr="00004A98">
              <w:t>Assigned to</w:t>
            </w:r>
          </w:p>
        </w:tc>
        <w:tc>
          <w:tcPr>
            <w:tcW w:w="1805" w:type="dxa"/>
            <w:shd w:val="clear" w:color="auto" w:fill="DBE5F1" w:themeFill="accent1" w:themeFillTint="33"/>
            <w:vAlign w:val="center"/>
          </w:tcPr>
          <w:p w:rsidR="00004A98" w:rsidRDefault="00004A98" w:rsidP="00F419B5">
            <w:r w:rsidRPr="00004A98">
              <w:t>Due Date</w:t>
            </w:r>
          </w:p>
        </w:tc>
      </w:tr>
      <w:tr w:rsidR="00004A98" w:rsidTr="00004A98">
        <w:tc>
          <w:tcPr>
            <w:tcW w:w="5500" w:type="dxa"/>
            <w:vAlign w:val="center"/>
          </w:tcPr>
          <w:p w:rsidR="00004A98" w:rsidRPr="006E425F" w:rsidRDefault="00356E50" w:rsidP="00356E50">
            <w:pPr>
              <w:rPr>
                <w:sz w:val="20"/>
                <w:szCs w:val="20"/>
              </w:rPr>
            </w:pPr>
            <w:r>
              <w:rPr>
                <w:sz w:val="20"/>
                <w:szCs w:val="20"/>
              </w:rPr>
              <w:t>Amendment to the section “Internal evaluation responsibilities” of PQAP in order to 1) emphasize that the goal of QAG is to monitor both the quality of the content and the timeline of deliverable implementation and 2) define the procedure for measuring the quality of deliverables content.</w:t>
            </w:r>
          </w:p>
        </w:tc>
        <w:tc>
          <w:tcPr>
            <w:tcW w:w="1984" w:type="dxa"/>
            <w:vAlign w:val="center"/>
          </w:tcPr>
          <w:p w:rsidR="00004A98" w:rsidRPr="006E425F" w:rsidRDefault="00356E50" w:rsidP="00F419B5">
            <w:pPr>
              <w:rPr>
                <w:sz w:val="20"/>
                <w:szCs w:val="20"/>
              </w:rPr>
            </w:pPr>
            <w:r>
              <w:rPr>
                <w:sz w:val="20"/>
                <w:szCs w:val="20"/>
              </w:rPr>
              <w:t xml:space="preserve">Sanela </w:t>
            </w:r>
            <w:proofErr w:type="spellStart"/>
            <w:r>
              <w:rPr>
                <w:sz w:val="20"/>
                <w:szCs w:val="20"/>
              </w:rPr>
              <w:t>Nikolić</w:t>
            </w:r>
            <w:proofErr w:type="spellEnd"/>
          </w:p>
        </w:tc>
        <w:tc>
          <w:tcPr>
            <w:tcW w:w="1805" w:type="dxa"/>
            <w:vAlign w:val="center"/>
          </w:tcPr>
          <w:p w:rsidR="00004A98" w:rsidRPr="006E425F" w:rsidRDefault="00356E50" w:rsidP="00F419B5">
            <w:pPr>
              <w:rPr>
                <w:sz w:val="20"/>
                <w:szCs w:val="20"/>
              </w:rPr>
            </w:pPr>
            <w:r>
              <w:rPr>
                <w:sz w:val="20"/>
                <w:szCs w:val="20"/>
              </w:rPr>
              <w:t>December 31, 2019.</w:t>
            </w:r>
          </w:p>
        </w:tc>
      </w:tr>
      <w:tr w:rsidR="00004A98" w:rsidTr="00004A98">
        <w:tc>
          <w:tcPr>
            <w:tcW w:w="5500" w:type="dxa"/>
            <w:vAlign w:val="center"/>
          </w:tcPr>
          <w:p w:rsidR="00004A98" w:rsidRPr="006E425F" w:rsidRDefault="00356E50" w:rsidP="00F419B5">
            <w:pPr>
              <w:rPr>
                <w:sz w:val="20"/>
                <w:szCs w:val="20"/>
              </w:rPr>
            </w:pPr>
            <w:r>
              <w:rPr>
                <w:sz w:val="20"/>
                <w:szCs w:val="20"/>
              </w:rPr>
              <w:t>Amendment to the section “Internal evaluation responsibilities” in order to define a timeline of WP 6 reports submissions in 10 reporting periods.</w:t>
            </w:r>
          </w:p>
        </w:tc>
        <w:tc>
          <w:tcPr>
            <w:tcW w:w="1984" w:type="dxa"/>
            <w:vAlign w:val="center"/>
          </w:tcPr>
          <w:p w:rsidR="00004A98" w:rsidRPr="006E425F" w:rsidRDefault="00356E50" w:rsidP="00F419B5">
            <w:pPr>
              <w:rPr>
                <w:sz w:val="20"/>
                <w:szCs w:val="20"/>
              </w:rPr>
            </w:pPr>
            <w:r>
              <w:rPr>
                <w:sz w:val="20"/>
                <w:szCs w:val="20"/>
              </w:rPr>
              <w:t xml:space="preserve">Sanela </w:t>
            </w:r>
            <w:proofErr w:type="spellStart"/>
            <w:r>
              <w:rPr>
                <w:sz w:val="20"/>
                <w:szCs w:val="20"/>
              </w:rPr>
              <w:t>Nikolić</w:t>
            </w:r>
            <w:proofErr w:type="spellEnd"/>
          </w:p>
        </w:tc>
        <w:tc>
          <w:tcPr>
            <w:tcW w:w="1805" w:type="dxa"/>
            <w:vAlign w:val="center"/>
          </w:tcPr>
          <w:p w:rsidR="00004A98" w:rsidRPr="006E425F" w:rsidRDefault="00356E50" w:rsidP="00F419B5">
            <w:pPr>
              <w:rPr>
                <w:sz w:val="20"/>
                <w:szCs w:val="20"/>
              </w:rPr>
            </w:pPr>
            <w:r>
              <w:rPr>
                <w:sz w:val="20"/>
                <w:szCs w:val="20"/>
              </w:rPr>
              <w:t>December 31, 2019.</w:t>
            </w:r>
          </w:p>
        </w:tc>
      </w:tr>
      <w:tr w:rsidR="00004A98" w:rsidTr="00004A98">
        <w:tc>
          <w:tcPr>
            <w:tcW w:w="5500" w:type="dxa"/>
            <w:vAlign w:val="center"/>
          </w:tcPr>
          <w:p w:rsidR="00004A98" w:rsidRPr="006E425F" w:rsidRDefault="00356E50" w:rsidP="00356E50">
            <w:pPr>
              <w:rPr>
                <w:sz w:val="20"/>
                <w:szCs w:val="20"/>
              </w:rPr>
            </w:pPr>
            <w:r>
              <w:rPr>
                <w:sz w:val="20"/>
                <w:szCs w:val="20"/>
              </w:rPr>
              <w:t>Adjustment of Table 3 of PQAP in order to define the dates of QAG online Skype meetings.</w:t>
            </w:r>
          </w:p>
        </w:tc>
        <w:tc>
          <w:tcPr>
            <w:tcW w:w="1984" w:type="dxa"/>
            <w:vAlign w:val="center"/>
          </w:tcPr>
          <w:p w:rsidR="00004A98" w:rsidRPr="006E425F" w:rsidRDefault="00356E50" w:rsidP="00F419B5">
            <w:pPr>
              <w:rPr>
                <w:sz w:val="20"/>
                <w:szCs w:val="20"/>
              </w:rPr>
            </w:pPr>
            <w:r>
              <w:rPr>
                <w:sz w:val="20"/>
                <w:szCs w:val="20"/>
              </w:rPr>
              <w:t xml:space="preserve">Vladimir </w:t>
            </w:r>
            <w:proofErr w:type="spellStart"/>
            <w:r>
              <w:rPr>
                <w:sz w:val="20"/>
                <w:szCs w:val="20"/>
              </w:rPr>
              <w:t>Blagojević</w:t>
            </w:r>
            <w:proofErr w:type="spellEnd"/>
          </w:p>
        </w:tc>
        <w:tc>
          <w:tcPr>
            <w:tcW w:w="1805" w:type="dxa"/>
            <w:vAlign w:val="center"/>
          </w:tcPr>
          <w:p w:rsidR="00004A98" w:rsidRPr="006E425F" w:rsidRDefault="00356E50" w:rsidP="00F419B5">
            <w:pPr>
              <w:rPr>
                <w:sz w:val="20"/>
                <w:szCs w:val="20"/>
              </w:rPr>
            </w:pPr>
            <w:r>
              <w:rPr>
                <w:sz w:val="20"/>
                <w:szCs w:val="20"/>
              </w:rPr>
              <w:t>December 31, 2019.</w:t>
            </w:r>
          </w:p>
        </w:tc>
      </w:tr>
      <w:tr w:rsidR="00004A98" w:rsidTr="00004A98">
        <w:tc>
          <w:tcPr>
            <w:tcW w:w="5500" w:type="dxa"/>
            <w:vAlign w:val="center"/>
          </w:tcPr>
          <w:p w:rsidR="00004A98" w:rsidRPr="006E425F" w:rsidRDefault="00356E50" w:rsidP="00356E50">
            <w:pPr>
              <w:rPr>
                <w:sz w:val="20"/>
                <w:szCs w:val="20"/>
              </w:rPr>
            </w:pPr>
            <w:r>
              <w:rPr>
                <w:sz w:val="20"/>
                <w:szCs w:val="20"/>
              </w:rPr>
              <w:t>Adjustment of Table 5 and Appendix 1 in order to change the QAG responsible person for the evaluation of the deliverable 2.6.</w:t>
            </w:r>
          </w:p>
        </w:tc>
        <w:tc>
          <w:tcPr>
            <w:tcW w:w="1984" w:type="dxa"/>
            <w:vAlign w:val="center"/>
          </w:tcPr>
          <w:p w:rsidR="00004A98" w:rsidRPr="006E425F" w:rsidRDefault="00356E50" w:rsidP="00F419B5">
            <w:pPr>
              <w:rPr>
                <w:sz w:val="20"/>
                <w:szCs w:val="20"/>
              </w:rPr>
            </w:pPr>
            <w:r>
              <w:rPr>
                <w:sz w:val="20"/>
                <w:szCs w:val="20"/>
              </w:rPr>
              <w:t xml:space="preserve">Sanela </w:t>
            </w:r>
            <w:proofErr w:type="spellStart"/>
            <w:r>
              <w:rPr>
                <w:sz w:val="20"/>
                <w:szCs w:val="20"/>
              </w:rPr>
              <w:t>Nikolić</w:t>
            </w:r>
            <w:proofErr w:type="spellEnd"/>
          </w:p>
        </w:tc>
        <w:tc>
          <w:tcPr>
            <w:tcW w:w="1805" w:type="dxa"/>
            <w:vAlign w:val="center"/>
          </w:tcPr>
          <w:p w:rsidR="00004A98" w:rsidRPr="006E425F" w:rsidRDefault="00356E50" w:rsidP="00F419B5">
            <w:pPr>
              <w:rPr>
                <w:sz w:val="20"/>
                <w:szCs w:val="20"/>
              </w:rPr>
            </w:pPr>
            <w:r>
              <w:rPr>
                <w:sz w:val="20"/>
                <w:szCs w:val="20"/>
              </w:rPr>
              <w:t>December 31, 2019.</w:t>
            </w:r>
          </w:p>
        </w:tc>
      </w:tr>
    </w:tbl>
    <w:p w:rsidR="00B23FF9" w:rsidRDefault="00B23FF9"/>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113" w:type="dxa"/>
          <w:bottom w:w="85" w:type="dxa"/>
          <w:right w:w="113" w:type="dxa"/>
        </w:tblCellMar>
        <w:tblLook w:val="04A0"/>
      </w:tblPr>
      <w:tblGrid>
        <w:gridCol w:w="7059"/>
        <w:gridCol w:w="2230"/>
      </w:tblGrid>
      <w:tr w:rsidR="00004A98" w:rsidTr="00F419B5">
        <w:trPr>
          <w:trHeight w:val="611"/>
        </w:trPr>
        <w:tc>
          <w:tcPr>
            <w:tcW w:w="9289" w:type="dxa"/>
            <w:gridSpan w:val="2"/>
            <w:vAlign w:val="center"/>
          </w:tcPr>
          <w:p w:rsidR="00004A98" w:rsidRPr="00496367" w:rsidRDefault="00004A98" w:rsidP="00F419B5">
            <w:pPr>
              <w:rPr>
                <w:color w:val="984806" w:themeColor="accent6" w:themeShade="80"/>
                <w:sz w:val="28"/>
                <w:szCs w:val="28"/>
              </w:rPr>
            </w:pPr>
            <w:r w:rsidRPr="00DF6179">
              <w:rPr>
                <w:color w:val="365F91" w:themeColor="accent1" w:themeShade="BF"/>
                <w:sz w:val="28"/>
                <w:szCs w:val="28"/>
              </w:rPr>
              <w:t>6. Attachments (documents/handouts to bring, reading material, etc.)</w:t>
            </w:r>
          </w:p>
        </w:tc>
      </w:tr>
      <w:tr w:rsidR="009A049A" w:rsidTr="009A049A">
        <w:tc>
          <w:tcPr>
            <w:tcW w:w="7059" w:type="dxa"/>
            <w:shd w:val="clear" w:color="auto" w:fill="DBE5F1" w:themeFill="accent1" w:themeFillTint="33"/>
            <w:vAlign w:val="center"/>
          </w:tcPr>
          <w:p w:rsidR="009A049A" w:rsidRDefault="009A049A" w:rsidP="00F419B5">
            <w:r w:rsidRPr="009A049A">
              <w:t>Description</w:t>
            </w:r>
          </w:p>
        </w:tc>
        <w:tc>
          <w:tcPr>
            <w:tcW w:w="2230" w:type="dxa"/>
            <w:shd w:val="clear" w:color="auto" w:fill="DBE5F1" w:themeFill="accent1" w:themeFillTint="33"/>
            <w:vAlign w:val="center"/>
          </w:tcPr>
          <w:p w:rsidR="009A049A" w:rsidRDefault="009A049A" w:rsidP="00F419B5">
            <w:r w:rsidRPr="009A049A">
              <w:t>Prepared by</w:t>
            </w:r>
          </w:p>
        </w:tc>
      </w:tr>
      <w:tr w:rsidR="009A049A" w:rsidTr="009A049A">
        <w:tc>
          <w:tcPr>
            <w:tcW w:w="7059" w:type="dxa"/>
            <w:vAlign w:val="center"/>
          </w:tcPr>
          <w:p w:rsidR="009A049A" w:rsidRPr="006E425F" w:rsidRDefault="00356E50" w:rsidP="00F419B5">
            <w:pPr>
              <w:rPr>
                <w:sz w:val="20"/>
                <w:szCs w:val="20"/>
              </w:rPr>
            </w:pPr>
            <w:r>
              <w:rPr>
                <w:sz w:val="20"/>
                <w:szCs w:val="20"/>
              </w:rPr>
              <w:t>Project Quality Assurance Plan with supporting documents (Appendixes and Annexes)</w:t>
            </w:r>
          </w:p>
        </w:tc>
        <w:tc>
          <w:tcPr>
            <w:tcW w:w="2230" w:type="dxa"/>
            <w:vAlign w:val="center"/>
          </w:tcPr>
          <w:p w:rsidR="009A049A" w:rsidRDefault="00356E50" w:rsidP="00F419B5">
            <w:pPr>
              <w:rPr>
                <w:sz w:val="20"/>
                <w:szCs w:val="20"/>
              </w:rPr>
            </w:pPr>
            <w:r>
              <w:rPr>
                <w:sz w:val="20"/>
                <w:szCs w:val="20"/>
              </w:rPr>
              <w:t xml:space="preserve">Sanela </w:t>
            </w:r>
            <w:proofErr w:type="spellStart"/>
            <w:r>
              <w:rPr>
                <w:sz w:val="20"/>
                <w:szCs w:val="20"/>
              </w:rPr>
              <w:t>Nikolić</w:t>
            </w:r>
            <w:proofErr w:type="spellEnd"/>
          </w:p>
          <w:p w:rsidR="00356E50" w:rsidRPr="006E425F" w:rsidRDefault="00356E50" w:rsidP="00F419B5">
            <w:pPr>
              <w:rPr>
                <w:sz w:val="20"/>
                <w:szCs w:val="20"/>
              </w:rPr>
            </w:pPr>
            <w:r>
              <w:rPr>
                <w:sz w:val="20"/>
                <w:szCs w:val="20"/>
              </w:rPr>
              <w:t xml:space="preserve">Vladimir </w:t>
            </w:r>
            <w:proofErr w:type="spellStart"/>
            <w:r>
              <w:rPr>
                <w:sz w:val="20"/>
                <w:szCs w:val="20"/>
              </w:rPr>
              <w:t>Blagojević</w:t>
            </w:r>
            <w:proofErr w:type="spellEnd"/>
          </w:p>
        </w:tc>
      </w:tr>
      <w:tr w:rsidR="009A049A" w:rsidTr="009A049A">
        <w:tc>
          <w:tcPr>
            <w:tcW w:w="7059" w:type="dxa"/>
            <w:vAlign w:val="center"/>
          </w:tcPr>
          <w:p w:rsidR="009A049A" w:rsidRPr="00356E50" w:rsidRDefault="00356E50" w:rsidP="00F419B5">
            <w:pPr>
              <w:rPr>
                <w:sz w:val="20"/>
                <w:szCs w:val="20"/>
                <w:lang w:bidi="en-US"/>
              </w:rPr>
            </w:pPr>
            <w:r w:rsidRPr="00356E50">
              <w:rPr>
                <w:sz w:val="20"/>
                <w:szCs w:val="20"/>
                <w:lang w:bidi="en-US"/>
              </w:rPr>
              <w:t>Annual Review of QAG</w:t>
            </w:r>
            <w:r w:rsidR="006D1DBF">
              <w:rPr>
                <w:sz w:val="20"/>
                <w:szCs w:val="20"/>
                <w:lang w:bidi="en-US"/>
              </w:rPr>
              <w:t xml:space="preserve"> for project year 1</w:t>
            </w:r>
          </w:p>
        </w:tc>
        <w:tc>
          <w:tcPr>
            <w:tcW w:w="2230" w:type="dxa"/>
            <w:vAlign w:val="center"/>
          </w:tcPr>
          <w:p w:rsidR="009A049A" w:rsidRPr="006E425F" w:rsidRDefault="00356E50" w:rsidP="00F419B5">
            <w:pPr>
              <w:rPr>
                <w:sz w:val="20"/>
                <w:szCs w:val="20"/>
              </w:rPr>
            </w:pPr>
            <w:r>
              <w:rPr>
                <w:sz w:val="20"/>
                <w:szCs w:val="20"/>
              </w:rPr>
              <w:t xml:space="preserve">Vladimir </w:t>
            </w:r>
            <w:proofErr w:type="spellStart"/>
            <w:r>
              <w:rPr>
                <w:sz w:val="20"/>
                <w:szCs w:val="20"/>
              </w:rPr>
              <w:t>Blagojević</w:t>
            </w:r>
            <w:proofErr w:type="spellEnd"/>
          </w:p>
        </w:tc>
      </w:tr>
      <w:tr w:rsidR="009A049A" w:rsidTr="009A049A">
        <w:tc>
          <w:tcPr>
            <w:tcW w:w="7059" w:type="dxa"/>
            <w:vAlign w:val="center"/>
          </w:tcPr>
          <w:p w:rsidR="009A049A" w:rsidRPr="006E425F" w:rsidRDefault="00356E50" w:rsidP="00F419B5">
            <w:pPr>
              <w:rPr>
                <w:sz w:val="20"/>
                <w:szCs w:val="20"/>
              </w:rPr>
            </w:pPr>
            <w:r>
              <w:rPr>
                <w:sz w:val="20"/>
                <w:szCs w:val="20"/>
              </w:rPr>
              <w:t xml:space="preserve">Quality Monitoring Reports for deliverables </w:t>
            </w:r>
            <w:r w:rsidRPr="00356E50">
              <w:rPr>
                <w:sz w:val="20"/>
                <w:szCs w:val="20"/>
              </w:rPr>
              <w:t>1.1, 1.2, 1.3, 1.4</w:t>
            </w:r>
          </w:p>
        </w:tc>
        <w:tc>
          <w:tcPr>
            <w:tcW w:w="2230" w:type="dxa"/>
            <w:vAlign w:val="center"/>
          </w:tcPr>
          <w:p w:rsidR="009A049A" w:rsidRPr="006E425F" w:rsidRDefault="00356E50" w:rsidP="00F419B5">
            <w:pPr>
              <w:rPr>
                <w:sz w:val="20"/>
                <w:szCs w:val="20"/>
              </w:rPr>
            </w:pPr>
            <w:proofErr w:type="spellStart"/>
            <w:r>
              <w:rPr>
                <w:sz w:val="20"/>
                <w:szCs w:val="20"/>
              </w:rPr>
              <w:t>Nynke</w:t>
            </w:r>
            <w:proofErr w:type="spellEnd"/>
            <w:r>
              <w:rPr>
                <w:sz w:val="20"/>
                <w:szCs w:val="20"/>
              </w:rPr>
              <w:t xml:space="preserve"> van </w:t>
            </w:r>
            <w:proofErr w:type="spellStart"/>
            <w:r>
              <w:rPr>
                <w:sz w:val="20"/>
                <w:szCs w:val="20"/>
              </w:rPr>
              <w:t>Ketel</w:t>
            </w:r>
            <w:proofErr w:type="spellEnd"/>
          </w:p>
        </w:tc>
      </w:tr>
      <w:tr w:rsidR="00356E50" w:rsidTr="009A049A">
        <w:tc>
          <w:tcPr>
            <w:tcW w:w="7059" w:type="dxa"/>
            <w:vAlign w:val="center"/>
          </w:tcPr>
          <w:p w:rsidR="00356E50" w:rsidRDefault="00356E50" w:rsidP="00356E50">
            <w:pPr>
              <w:rPr>
                <w:sz w:val="20"/>
                <w:szCs w:val="20"/>
              </w:rPr>
            </w:pPr>
            <w:r>
              <w:rPr>
                <w:sz w:val="20"/>
                <w:szCs w:val="20"/>
              </w:rPr>
              <w:lastRenderedPageBreak/>
              <w:t xml:space="preserve">Quality Monitoring Reports for deliverables </w:t>
            </w:r>
            <w:r w:rsidRPr="00356E50">
              <w:rPr>
                <w:sz w:val="20"/>
                <w:szCs w:val="20"/>
              </w:rPr>
              <w:t xml:space="preserve">2.1, 2.2, 2.3, 2.4, </w:t>
            </w:r>
            <w:r>
              <w:rPr>
                <w:sz w:val="20"/>
                <w:szCs w:val="20"/>
              </w:rPr>
              <w:t xml:space="preserve">7.1, </w:t>
            </w:r>
            <w:r w:rsidRPr="00356E50">
              <w:rPr>
                <w:sz w:val="20"/>
                <w:szCs w:val="20"/>
              </w:rPr>
              <w:t xml:space="preserve">8.1 </w:t>
            </w:r>
            <w:r>
              <w:rPr>
                <w:sz w:val="20"/>
                <w:szCs w:val="20"/>
              </w:rPr>
              <w:t>and</w:t>
            </w:r>
            <w:r w:rsidRPr="00356E50">
              <w:rPr>
                <w:sz w:val="20"/>
                <w:szCs w:val="20"/>
              </w:rPr>
              <w:t xml:space="preserve"> 8.3</w:t>
            </w:r>
          </w:p>
        </w:tc>
        <w:tc>
          <w:tcPr>
            <w:tcW w:w="2230" w:type="dxa"/>
            <w:vAlign w:val="center"/>
          </w:tcPr>
          <w:p w:rsidR="00356E50" w:rsidRDefault="00356E50" w:rsidP="00F419B5">
            <w:pPr>
              <w:rPr>
                <w:sz w:val="20"/>
                <w:szCs w:val="20"/>
              </w:rPr>
            </w:pPr>
            <w:r>
              <w:rPr>
                <w:sz w:val="20"/>
                <w:szCs w:val="20"/>
              </w:rPr>
              <w:t xml:space="preserve">Sanela </w:t>
            </w:r>
            <w:proofErr w:type="spellStart"/>
            <w:r>
              <w:rPr>
                <w:sz w:val="20"/>
                <w:szCs w:val="20"/>
              </w:rPr>
              <w:t>Nikolić</w:t>
            </w:r>
            <w:proofErr w:type="spellEnd"/>
          </w:p>
        </w:tc>
      </w:tr>
    </w:tbl>
    <w:p w:rsidR="00B23FF9" w:rsidRDefault="00B23FF9"/>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113" w:type="dxa"/>
          <w:bottom w:w="85" w:type="dxa"/>
          <w:right w:w="113" w:type="dxa"/>
        </w:tblCellMar>
        <w:tblLook w:val="04A0"/>
      </w:tblPr>
      <w:tblGrid>
        <w:gridCol w:w="2660"/>
        <w:gridCol w:w="6629"/>
      </w:tblGrid>
      <w:tr w:rsidR="009A049A" w:rsidTr="00F419B5">
        <w:trPr>
          <w:trHeight w:val="611"/>
        </w:trPr>
        <w:tc>
          <w:tcPr>
            <w:tcW w:w="9289" w:type="dxa"/>
            <w:gridSpan w:val="2"/>
            <w:vAlign w:val="center"/>
          </w:tcPr>
          <w:p w:rsidR="009A049A" w:rsidRPr="00496367" w:rsidRDefault="009A049A" w:rsidP="00F419B5">
            <w:pPr>
              <w:rPr>
                <w:color w:val="984806" w:themeColor="accent6" w:themeShade="80"/>
                <w:sz w:val="28"/>
                <w:szCs w:val="28"/>
              </w:rPr>
            </w:pPr>
            <w:r w:rsidRPr="00DF6179">
              <w:rPr>
                <w:color w:val="365F91" w:themeColor="accent1" w:themeShade="BF"/>
                <w:sz w:val="28"/>
                <w:szCs w:val="28"/>
              </w:rPr>
              <w:t>7. Next Scheduled Meeting</w:t>
            </w:r>
          </w:p>
        </w:tc>
      </w:tr>
      <w:tr w:rsidR="009A049A" w:rsidTr="00F419B5">
        <w:tc>
          <w:tcPr>
            <w:tcW w:w="2660" w:type="dxa"/>
            <w:tcBorders>
              <w:bottom w:val="single" w:sz="4" w:space="0" w:color="A6A6A6" w:themeColor="background1" w:themeShade="A6"/>
            </w:tcBorders>
            <w:shd w:val="clear" w:color="auto" w:fill="DBE5F1" w:themeFill="accent1" w:themeFillTint="33"/>
            <w:vAlign w:val="center"/>
          </w:tcPr>
          <w:p w:rsidR="009A049A" w:rsidRDefault="009A049A" w:rsidP="00F419B5">
            <w:pPr>
              <w:jc w:val="right"/>
            </w:pPr>
            <w:r w:rsidRPr="00B927FF">
              <w:t>Date</w:t>
            </w:r>
            <w:r>
              <w:t>:</w:t>
            </w:r>
          </w:p>
        </w:tc>
        <w:tc>
          <w:tcPr>
            <w:tcW w:w="6629" w:type="dxa"/>
            <w:vAlign w:val="center"/>
          </w:tcPr>
          <w:p w:rsidR="009A049A" w:rsidRPr="006E425F" w:rsidRDefault="00356E50" w:rsidP="00356E50">
            <w:pPr>
              <w:rPr>
                <w:sz w:val="20"/>
                <w:szCs w:val="20"/>
              </w:rPr>
            </w:pPr>
            <w:proofErr w:type="gramStart"/>
            <w:r>
              <w:rPr>
                <w:sz w:val="20"/>
                <w:szCs w:val="20"/>
              </w:rPr>
              <w:t>early</w:t>
            </w:r>
            <w:proofErr w:type="gramEnd"/>
            <w:r>
              <w:rPr>
                <w:sz w:val="20"/>
                <w:szCs w:val="20"/>
              </w:rPr>
              <w:t xml:space="preserve"> December 2020.</w:t>
            </w:r>
          </w:p>
        </w:tc>
      </w:tr>
      <w:tr w:rsidR="009A049A" w:rsidTr="00F419B5">
        <w:tc>
          <w:tcPr>
            <w:tcW w:w="2660" w:type="dxa"/>
            <w:shd w:val="clear" w:color="auto" w:fill="DBE5F1" w:themeFill="accent1" w:themeFillTint="33"/>
            <w:vAlign w:val="center"/>
          </w:tcPr>
          <w:p w:rsidR="009A049A" w:rsidRPr="00B927FF" w:rsidRDefault="009A049A" w:rsidP="00F419B5">
            <w:pPr>
              <w:jc w:val="right"/>
            </w:pPr>
            <w:r>
              <w:t>Time</w:t>
            </w:r>
            <w:r w:rsidRPr="00B927FF">
              <w:t>:</w:t>
            </w:r>
          </w:p>
        </w:tc>
        <w:tc>
          <w:tcPr>
            <w:tcW w:w="6629" w:type="dxa"/>
            <w:vAlign w:val="center"/>
          </w:tcPr>
          <w:p w:rsidR="009A049A" w:rsidRPr="006E425F" w:rsidRDefault="00356E50" w:rsidP="00F419B5">
            <w:pPr>
              <w:rPr>
                <w:sz w:val="20"/>
                <w:szCs w:val="20"/>
              </w:rPr>
            </w:pPr>
            <w:r>
              <w:rPr>
                <w:sz w:val="20"/>
                <w:szCs w:val="20"/>
              </w:rPr>
              <w:t>will be set</w:t>
            </w:r>
          </w:p>
        </w:tc>
      </w:tr>
      <w:tr w:rsidR="009A049A" w:rsidTr="00F419B5">
        <w:tc>
          <w:tcPr>
            <w:tcW w:w="2660" w:type="dxa"/>
            <w:shd w:val="clear" w:color="auto" w:fill="DBE5F1" w:themeFill="accent1" w:themeFillTint="33"/>
            <w:vAlign w:val="center"/>
          </w:tcPr>
          <w:p w:rsidR="009A049A" w:rsidRPr="00B927FF" w:rsidRDefault="009A049A" w:rsidP="00F419B5">
            <w:pPr>
              <w:jc w:val="right"/>
            </w:pPr>
            <w:r>
              <w:t>Location</w:t>
            </w:r>
            <w:r w:rsidRPr="00B927FF">
              <w:t>:</w:t>
            </w:r>
          </w:p>
        </w:tc>
        <w:tc>
          <w:tcPr>
            <w:tcW w:w="6629" w:type="dxa"/>
            <w:vAlign w:val="center"/>
          </w:tcPr>
          <w:p w:rsidR="009A049A" w:rsidRPr="00356E50" w:rsidRDefault="00356E50" w:rsidP="00F419B5">
            <w:r>
              <w:t xml:space="preserve">The </w:t>
            </w:r>
            <w:r w:rsidRPr="00356E50">
              <w:t xml:space="preserve">University of </w:t>
            </w:r>
            <w:proofErr w:type="spellStart"/>
            <w:r w:rsidRPr="00356E50">
              <w:t>Kragujevac</w:t>
            </w:r>
            <w:proofErr w:type="spellEnd"/>
            <w:r w:rsidRPr="00356E50">
              <w:t>, Faculty of Philology and Arts</w:t>
            </w:r>
          </w:p>
        </w:tc>
      </w:tr>
    </w:tbl>
    <w:p w:rsidR="00496367" w:rsidRDefault="00496367" w:rsidP="00F847B2"/>
    <w:sectPr w:rsidR="00496367" w:rsidSect="00DA1E15">
      <w:headerReference w:type="even" r:id="rId19"/>
      <w:headerReference w:type="default" r:id="rId20"/>
      <w:footerReference w:type="even" r:id="rId21"/>
      <w:footerReference w:type="default" r:id="rId22"/>
      <w:headerReference w:type="first" r:id="rId23"/>
      <w:footerReference w:type="first" r:id="rId24"/>
      <w:pgSz w:w="11909" w:h="16834" w:code="9"/>
      <w:pgMar w:top="1701" w:right="1418" w:bottom="1418" w:left="1418" w:header="851"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8FD" w:rsidRDefault="00EE48FD" w:rsidP="001F451D">
      <w:pPr>
        <w:spacing w:after="0" w:line="240" w:lineRule="auto"/>
      </w:pPr>
      <w:r>
        <w:separator/>
      </w:r>
    </w:p>
  </w:endnote>
  <w:endnote w:type="continuationSeparator" w:id="0">
    <w:p w:rsidR="00EE48FD" w:rsidRDefault="00EE48FD" w:rsidP="001F4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F62" w:rsidRDefault="00292F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51D" w:rsidRDefault="005F2AB0">
    <w:pPr>
      <w:pStyle w:val="Footer"/>
    </w:pPr>
    <w:r>
      <w:rPr>
        <w:noProof/>
      </w:rPr>
      <w:drawing>
        <wp:anchor distT="0" distB="0" distL="114300" distR="114300" simplePos="0" relativeHeight="251662336" behindDoc="1" locked="1" layoutInCell="1" allowOverlap="1">
          <wp:simplePos x="0" y="0"/>
          <wp:positionH relativeFrom="page">
            <wp:posOffset>0</wp:posOffset>
          </wp:positionH>
          <wp:positionV relativeFrom="page">
            <wp:posOffset>9757410</wp:posOffset>
          </wp:positionV>
          <wp:extent cx="7587615" cy="869315"/>
          <wp:effectExtent l="0" t="0" r="0" b="6985"/>
          <wp:wrapNone/>
          <wp:docPr id="2" name="Picture 2" descr="f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e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87615" cy="869315"/>
                  </a:xfrm>
                  <a:prstGeom prst="rect">
                    <a:avLst/>
                  </a:prstGeom>
                  <a:noFill/>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F62" w:rsidRDefault="00292F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8FD" w:rsidRDefault="00EE48FD" w:rsidP="001F451D">
      <w:pPr>
        <w:spacing w:after="0" w:line="240" w:lineRule="auto"/>
      </w:pPr>
      <w:r>
        <w:separator/>
      </w:r>
    </w:p>
  </w:footnote>
  <w:footnote w:type="continuationSeparator" w:id="0">
    <w:p w:rsidR="00EE48FD" w:rsidRDefault="00EE48FD" w:rsidP="001F45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F62" w:rsidRDefault="00292F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51D" w:rsidRDefault="005F2AB0">
    <w:pPr>
      <w:pStyle w:val="Header"/>
    </w:pPr>
    <w:r>
      <w:rPr>
        <w:noProof/>
      </w:rPr>
      <w:drawing>
        <wp:anchor distT="0" distB="0" distL="114300" distR="114300" simplePos="0" relativeHeight="251664384" behindDoc="1" locked="1" layoutInCell="1" allowOverlap="1">
          <wp:simplePos x="0" y="0"/>
          <wp:positionH relativeFrom="page">
            <wp:align>center</wp:align>
          </wp:positionH>
          <wp:positionV relativeFrom="page">
            <wp:align>top</wp:align>
          </wp:positionV>
          <wp:extent cx="7585710" cy="969010"/>
          <wp:effectExtent l="0" t="0" r="0" b="2540"/>
          <wp:wrapNone/>
          <wp:docPr id="3" name="Picture 3" descr="h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de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85710" cy="96901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F62" w:rsidRDefault="00292F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4338"/>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MjA3MjI2NjI1NTO1MDJV0lEKTi0uzszPAykwrgUAKyvkIywAAAA="/>
  </w:docVars>
  <w:rsids>
    <w:rsidRoot w:val="00292F62"/>
    <w:rsid w:val="00004A98"/>
    <w:rsid w:val="00092C74"/>
    <w:rsid w:val="000A7CBF"/>
    <w:rsid w:val="00152803"/>
    <w:rsid w:val="001B4A82"/>
    <w:rsid w:val="001F451D"/>
    <w:rsid w:val="00292F62"/>
    <w:rsid w:val="0032239C"/>
    <w:rsid w:val="00356E50"/>
    <w:rsid w:val="003B7C61"/>
    <w:rsid w:val="003C023B"/>
    <w:rsid w:val="00401C8F"/>
    <w:rsid w:val="00427A9A"/>
    <w:rsid w:val="00496367"/>
    <w:rsid w:val="004E6960"/>
    <w:rsid w:val="004F32A6"/>
    <w:rsid w:val="0052026E"/>
    <w:rsid w:val="0052679B"/>
    <w:rsid w:val="005F2AB0"/>
    <w:rsid w:val="006A6375"/>
    <w:rsid w:val="006D1DBF"/>
    <w:rsid w:val="006E425F"/>
    <w:rsid w:val="006E5877"/>
    <w:rsid w:val="007524E3"/>
    <w:rsid w:val="007C04BF"/>
    <w:rsid w:val="007C2118"/>
    <w:rsid w:val="00805B69"/>
    <w:rsid w:val="00853D8F"/>
    <w:rsid w:val="00933540"/>
    <w:rsid w:val="0099709A"/>
    <w:rsid w:val="009A049A"/>
    <w:rsid w:val="009E7415"/>
    <w:rsid w:val="00A01C50"/>
    <w:rsid w:val="00A71C2C"/>
    <w:rsid w:val="00AB407F"/>
    <w:rsid w:val="00AD0260"/>
    <w:rsid w:val="00B03F15"/>
    <w:rsid w:val="00B23FF9"/>
    <w:rsid w:val="00BE2DBD"/>
    <w:rsid w:val="00C510D8"/>
    <w:rsid w:val="00D63874"/>
    <w:rsid w:val="00D63A02"/>
    <w:rsid w:val="00DA1E15"/>
    <w:rsid w:val="00DF40C8"/>
    <w:rsid w:val="00DF6179"/>
    <w:rsid w:val="00EE48FD"/>
    <w:rsid w:val="00F0608C"/>
    <w:rsid w:val="00F54D89"/>
    <w:rsid w:val="00F724DE"/>
    <w:rsid w:val="00F847B2"/>
    <w:rsid w:val="00F971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0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51D"/>
    <w:pPr>
      <w:tabs>
        <w:tab w:val="center" w:pos="4703"/>
        <w:tab w:val="right" w:pos="9406"/>
      </w:tabs>
      <w:spacing w:after="0" w:line="240" w:lineRule="auto"/>
    </w:pPr>
  </w:style>
  <w:style w:type="character" w:customStyle="1" w:styleId="HeaderChar">
    <w:name w:val="Header Char"/>
    <w:basedOn w:val="DefaultParagraphFont"/>
    <w:link w:val="Header"/>
    <w:uiPriority w:val="99"/>
    <w:rsid w:val="001F451D"/>
  </w:style>
  <w:style w:type="paragraph" w:styleId="Footer">
    <w:name w:val="footer"/>
    <w:basedOn w:val="Normal"/>
    <w:link w:val="FooterChar"/>
    <w:uiPriority w:val="99"/>
    <w:unhideWhenUsed/>
    <w:rsid w:val="001F451D"/>
    <w:pPr>
      <w:tabs>
        <w:tab w:val="center" w:pos="4703"/>
        <w:tab w:val="right" w:pos="9406"/>
      </w:tabs>
      <w:spacing w:after="0" w:line="240" w:lineRule="auto"/>
    </w:pPr>
  </w:style>
  <w:style w:type="character" w:customStyle="1" w:styleId="FooterChar">
    <w:name w:val="Footer Char"/>
    <w:basedOn w:val="DefaultParagraphFont"/>
    <w:link w:val="Footer"/>
    <w:uiPriority w:val="99"/>
    <w:rsid w:val="001F451D"/>
  </w:style>
  <w:style w:type="table" w:styleId="TableGrid">
    <w:name w:val="Table Grid"/>
    <w:basedOn w:val="TableNormal"/>
    <w:uiPriority w:val="59"/>
    <w:rsid w:val="00F847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971BF"/>
    <w:pPr>
      <w:autoSpaceDE w:val="0"/>
      <w:autoSpaceDN w:val="0"/>
      <w:adjustRightInd w:val="0"/>
      <w:spacing w:after="0" w:line="240" w:lineRule="auto"/>
    </w:pPr>
    <w:rPr>
      <w:rFonts w:ascii="Segoe UI" w:hAnsi="Segoe UI" w:cs="Segoe U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51D"/>
    <w:pPr>
      <w:tabs>
        <w:tab w:val="center" w:pos="4703"/>
        <w:tab w:val="right" w:pos="9406"/>
      </w:tabs>
      <w:spacing w:after="0" w:line="240" w:lineRule="auto"/>
    </w:pPr>
  </w:style>
  <w:style w:type="character" w:customStyle="1" w:styleId="HeaderChar">
    <w:name w:val="Header Char"/>
    <w:basedOn w:val="DefaultParagraphFont"/>
    <w:link w:val="Header"/>
    <w:uiPriority w:val="99"/>
    <w:rsid w:val="001F451D"/>
  </w:style>
  <w:style w:type="paragraph" w:styleId="Footer">
    <w:name w:val="footer"/>
    <w:basedOn w:val="Normal"/>
    <w:link w:val="FooterChar"/>
    <w:uiPriority w:val="99"/>
    <w:unhideWhenUsed/>
    <w:rsid w:val="001F451D"/>
    <w:pPr>
      <w:tabs>
        <w:tab w:val="center" w:pos="4703"/>
        <w:tab w:val="right" w:pos="9406"/>
      </w:tabs>
      <w:spacing w:after="0" w:line="240" w:lineRule="auto"/>
    </w:pPr>
  </w:style>
  <w:style w:type="character" w:customStyle="1" w:styleId="FooterChar">
    <w:name w:val="Footer Char"/>
    <w:basedOn w:val="DefaultParagraphFont"/>
    <w:link w:val="Footer"/>
    <w:uiPriority w:val="99"/>
    <w:rsid w:val="001F451D"/>
  </w:style>
  <w:style w:type="table" w:styleId="TableGrid">
    <w:name w:val="Table Grid"/>
    <w:basedOn w:val="TableNormal"/>
    <w:uiPriority w:val="59"/>
    <w:rsid w:val="00F847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0924855">
      <w:bodyDiv w:val="1"/>
      <w:marLeft w:val="0"/>
      <w:marRight w:val="0"/>
      <w:marTop w:val="0"/>
      <w:marBottom w:val="0"/>
      <w:divBdr>
        <w:top w:val="none" w:sz="0" w:space="0" w:color="auto"/>
        <w:left w:val="none" w:sz="0" w:space="0" w:color="auto"/>
        <w:bottom w:val="none" w:sz="0" w:space="0" w:color="auto"/>
        <w:right w:val="none" w:sz="0" w:space="0" w:color="auto"/>
      </w:divBdr>
    </w:div>
    <w:div w:id="191858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footer" Target="footer2.xml"/><Relationship Id="rId27"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a%20Perkovic\Downloads\DEMUSIS%20Meeting%20Minutes%20Report%20SREDJEN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8DFE6-A9B3-4E2A-A7D4-BDFFE9BA3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DEMUSIS Meeting Minutes Report SREDJENO</Template>
  <TotalTime>565</TotalTime>
  <Pages>1</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Perkovic</dc:creator>
  <cp:lastModifiedBy>Sanela</cp:lastModifiedBy>
  <cp:revision>18</cp:revision>
  <dcterms:created xsi:type="dcterms:W3CDTF">2019-03-27T11:49:00Z</dcterms:created>
  <dcterms:modified xsi:type="dcterms:W3CDTF">2019-12-16T18:47:00Z</dcterms:modified>
</cp:coreProperties>
</file>